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7A720" w14:textId="1C7EA442" w:rsidR="00807081" w:rsidRDefault="00807081" w:rsidP="00807081">
      <w:pPr>
        <w:pStyle w:val="3GPPHeader"/>
        <w:spacing w:after="60"/>
        <w:rPr>
          <w:sz w:val="32"/>
          <w:szCs w:val="32"/>
          <w:highlight w:val="yellow"/>
          <w:lang w:val="en-US"/>
        </w:rPr>
      </w:pPr>
      <w:bookmarkStart w:id="0" w:name="_Hlk524960236"/>
      <w:r>
        <w:rPr>
          <w:lang w:val="en-US"/>
        </w:rPr>
        <w:t>3GPP TSG-RAN WG1 Meeting #95</w:t>
      </w:r>
      <w:r>
        <w:rPr>
          <w:lang w:val="en-US"/>
        </w:rPr>
        <w:tab/>
      </w:r>
      <w:r>
        <w:rPr>
          <w:sz w:val="32"/>
          <w:szCs w:val="32"/>
          <w:lang w:val="en-US"/>
        </w:rPr>
        <w:t xml:space="preserve"> </w:t>
      </w:r>
      <w:r w:rsidR="004D7513" w:rsidRPr="004D7513">
        <w:rPr>
          <w:sz w:val="32"/>
          <w:szCs w:val="32"/>
          <w:lang w:val="en-US"/>
        </w:rPr>
        <w:t>R1-1813456</w:t>
      </w:r>
    </w:p>
    <w:p w14:paraId="1583442E" w14:textId="77777777" w:rsidR="00807081" w:rsidRPr="005B5E25" w:rsidRDefault="00807081" w:rsidP="00807081">
      <w:pPr>
        <w:pStyle w:val="3GPPHeader"/>
      </w:pPr>
      <w:r>
        <w:rPr>
          <w:lang w:val="en-US"/>
        </w:rPr>
        <w:t>Spokane, USA, November 12th – 16th, 2018</w:t>
      </w:r>
    </w:p>
    <w:bookmarkEnd w:id="0"/>
    <w:p w14:paraId="60A5317D" w14:textId="77777777" w:rsidR="00E90E49" w:rsidRPr="00CE0424" w:rsidRDefault="00E90E49" w:rsidP="00357380">
      <w:pPr>
        <w:pStyle w:val="3GPPHeader"/>
      </w:pPr>
    </w:p>
    <w:p w14:paraId="3C6869D1" w14:textId="4AF2B511"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B45C47" w:rsidRPr="00B45C47">
        <w:rPr>
          <w:sz w:val="22"/>
          <w:szCs w:val="22"/>
          <w:lang w:val="en-US"/>
        </w:rPr>
        <w:t>7.2.2.3.1</w:t>
      </w:r>
      <w:r w:rsidR="00B45C47" w:rsidRPr="001714B7" w:rsidDel="00B45C47">
        <w:rPr>
          <w:sz w:val="22"/>
          <w:szCs w:val="22"/>
          <w:lang w:val="en-US"/>
        </w:rPr>
        <w:t xml:space="preserve">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47AEA28" w:rsidR="00E90E49" w:rsidRPr="00CE0424" w:rsidRDefault="003D3C45" w:rsidP="00311702">
      <w:pPr>
        <w:pStyle w:val="3GPPHeader"/>
        <w:rPr>
          <w:sz w:val="22"/>
          <w:szCs w:val="22"/>
        </w:rPr>
      </w:pPr>
      <w:r>
        <w:rPr>
          <w:sz w:val="22"/>
          <w:szCs w:val="22"/>
        </w:rPr>
        <w:t>Title:</w:t>
      </w:r>
      <w:r w:rsidR="00E90E49" w:rsidRPr="00CE0424">
        <w:rPr>
          <w:sz w:val="22"/>
          <w:szCs w:val="22"/>
        </w:rPr>
        <w:tab/>
      </w:r>
      <w:r w:rsidR="006626DE">
        <w:rPr>
          <w:sz w:val="22"/>
          <w:szCs w:val="22"/>
        </w:rPr>
        <w:t>On DL signals and channels for NR-U</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229D29D" w14:textId="59E2008D" w:rsidR="0090673E" w:rsidRDefault="0090673E" w:rsidP="0090673E">
      <w:pPr>
        <w:pStyle w:val="BodyText"/>
      </w:pPr>
      <w:r>
        <w:t>In RAN1#93</w:t>
      </w:r>
      <w:r w:rsidR="006A18DF">
        <w:t xml:space="preserve"> </w:t>
      </w:r>
      <w:r w:rsidR="006A18DF">
        <w:fldChar w:fldCharType="begin"/>
      </w:r>
      <w:r w:rsidR="006A18DF">
        <w:instrText xml:space="preserve"> REF _Ref521659446 \r \h </w:instrText>
      </w:r>
      <w:r w:rsidR="006A18DF">
        <w:fldChar w:fldCharType="separate"/>
      </w:r>
      <w:r w:rsidR="00B9379E">
        <w:t>[1]</w:t>
      </w:r>
      <w:r w:rsidR="006A18DF">
        <w:fldChar w:fldCharType="end"/>
      </w:r>
      <w:r>
        <w:t>, the following agreements for NR-U were made:</w:t>
      </w:r>
    </w:p>
    <w:p w14:paraId="711C3C5F" w14:textId="77777777" w:rsidR="00AB40EB" w:rsidRPr="00AB40EB" w:rsidRDefault="00AB40EB" w:rsidP="00AB40EB">
      <w:pPr>
        <w:overflowPunct/>
        <w:autoSpaceDE/>
        <w:autoSpaceDN/>
        <w:adjustRightInd/>
        <w:spacing w:after="0"/>
        <w:textAlignment w:val="auto"/>
        <w:rPr>
          <w:rFonts w:ascii="Times" w:eastAsia="Batang" w:hAnsi="Times"/>
          <w:szCs w:val="24"/>
          <w:highlight w:val="cyan"/>
          <w:lang w:eastAsia="x-none"/>
        </w:rPr>
      </w:pPr>
      <w:r w:rsidRPr="00AB40EB">
        <w:rPr>
          <w:rFonts w:ascii="Times" w:eastAsia="Batang" w:hAnsi="Times"/>
          <w:szCs w:val="24"/>
          <w:highlight w:val="green"/>
          <w:lang w:eastAsia="x-none"/>
        </w:rPr>
        <w:t>Agreement:</w:t>
      </w:r>
    </w:p>
    <w:p w14:paraId="63450783" w14:textId="77777777" w:rsidR="00AB40EB" w:rsidRPr="00AB40EB" w:rsidRDefault="00AB40EB" w:rsidP="00AB40EB">
      <w:pPr>
        <w:numPr>
          <w:ilvl w:val="0"/>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NR-U should have a signal that contains at least SS/PBCH block burst set transmission</w:t>
      </w:r>
    </w:p>
    <w:p w14:paraId="6A3E284B"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FFS: Other channels and signals transmitted together as part of the signal</w:t>
      </w:r>
    </w:p>
    <w:p w14:paraId="6D9CC12D" w14:textId="77777777" w:rsidR="00AB40EB" w:rsidRPr="00AB40EB" w:rsidRDefault="00AB40EB" w:rsidP="00AB40EB">
      <w:pPr>
        <w:numPr>
          <w:ilvl w:val="0"/>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 design of this signal should consider the following characteristics specific to unlicensed band operation</w:t>
      </w:r>
    </w:p>
    <w:p w14:paraId="31ABC5D2"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There are no gaps within the time span the signal is transmitted at least within a beam</w:t>
      </w:r>
    </w:p>
    <w:p w14:paraId="25D0E77A" w14:textId="77777777" w:rsidR="00AB40EB" w:rsidRPr="00AB40EB" w:rsidRDefault="00AB40EB" w:rsidP="00AB40EB">
      <w:pPr>
        <w:numPr>
          <w:ilvl w:val="2"/>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FFS: Whether any gaps are needed for beam switching and, if needed, their duration</w:t>
      </w:r>
    </w:p>
    <w:p w14:paraId="5A4CF328"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 occupied channel bandwidth is satisfied (although this may not be a requirement)</w:t>
      </w:r>
    </w:p>
    <w:p w14:paraId="55193C71"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Strive to minimize the channel occupancy time of the signal</w:t>
      </w:r>
    </w:p>
    <w:p w14:paraId="2231002F" w14:textId="40CE9E11" w:rsidR="0090673E" w:rsidRPr="00AB40EB" w:rsidRDefault="00AB40EB" w:rsidP="00AB40EB">
      <w:pPr>
        <w:numPr>
          <w:ilvl w:val="1"/>
          <w:numId w:val="28"/>
        </w:numPr>
        <w:overflowPunct/>
        <w:autoSpaceDE/>
        <w:autoSpaceDN/>
        <w:adjustRightInd/>
        <w:spacing w:after="120"/>
        <w:textAlignment w:val="auto"/>
        <w:rPr>
          <w:rFonts w:ascii="Times" w:eastAsia="Batang" w:hAnsi="Times"/>
          <w:szCs w:val="24"/>
          <w:lang w:eastAsia="en-US"/>
        </w:rPr>
      </w:pPr>
      <w:r w:rsidRPr="00AB40EB">
        <w:rPr>
          <w:rFonts w:ascii="Times" w:eastAsia="Batang" w:hAnsi="Times"/>
          <w:szCs w:val="24"/>
          <w:lang w:eastAsia="x-none"/>
        </w:rPr>
        <w:t>Characteristics that may facilitate fast channel access</w:t>
      </w:r>
    </w:p>
    <w:p w14:paraId="4CE0C0DF" w14:textId="77777777" w:rsidR="0090673E" w:rsidRDefault="0090673E" w:rsidP="0090673E">
      <w:pPr>
        <w:pStyle w:val="BodyText"/>
      </w:pPr>
    </w:p>
    <w:p w14:paraId="43C584F6" w14:textId="6E54E3E5" w:rsidR="003D566A" w:rsidRDefault="003D566A" w:rsidP="003D566A">
      <w:pPr>
        <w:pStyle w:val="BodyText"/>
      </w:pPr>
      <w:r>
        <w:t xml:space="preserve">In RAN1#94 </w:t>
      </w:r>
      <w:r w:rsidR="008714E1">
        <w:fldChar w:fldCharType="begin"/>
      </w:r>
      <w:r w:rsidR="008714E1">
        <w:instrText xml:space="preserve"> REF _Ref525632605 \r \h </w:instrText>
      </w:r>
      <w:r w:rsidR="008714E1">
        <w:fldChar w:fldCharType="separate"/>
      </w:r>
      <w:r w:rsidR="00B9379E">
        <w:t>[2]</w:t>
      </w:r>
      <w:r w:rsidR="008714E1">
        <w:fldChar w:fldCharType="end"/>
      </w:r>
      <w:r>
        <w:t>, the following agreements for NR-U were made:</w:t>
      </w:r>
    </w:p>
    <w:p w14:paraId="0B8AADAF" w14:textId="77777777" w:rsidR="003D566A" w:rsidRPr="00E50F1C" w:rsidRDefault="003D566A" w:rsidP="003D566A">
      <w:pPr>
        <w:overflowPunct/>
        <w:autoSpaceDE/>
        <w:autoSpaceDN/>
        <w:adjustRightInd/>
        <w:spacing w:after="0"/>
        <w:ind w:left="720" w:hanging="720"/>
        <w:textAlignment w:val="auto"/>
        <w:rPr>
          <w:rFonts w:ascii="Times" w:eastAsia="Batang" w:hAnsi="Times"/>
          <w:szCs w:val="24"/>
          <w:lang w:eastAsia="x-none"/>
        </w:rPr>
      </w:pPr>
      <w:r w:rsidRPr="00E50F1C">
        <w:rPr>
          <w:rFonts w:ascii="Times" w:eastAsia="Batang" w:hAnsi="Times"/>
          <w:szCs w:val="24"/>
          <w:highlight w:val="green"/>
          <w:lang w:eastAsia="x-none"/>
        </w:rPr>
        <w:t>Agreement:</w:t>
      </w:r>
      <w:r w:rsidRPr="00E50F1C">
        <w:rPr>
          <w:rFonts w:ascii="Times" w:eastAsia="Batang" w:hAnsi="Times"/>
          <w:szCs w:val="24"/>
          <w:lang w:eastAsia="x-none"/>
        </w:rPr>
        <w:t xml:space="preserve"> </w:t>
      </w:r>
    </w:p>
    <w:p w14:paraId="6235BDA8" w14:textId="77777777" w:rsidR="003D566A" w:rsidRPr="00E50F1C" w:rsidRDefault="003D566A" w:rsidP="003D566A">
      <w:pPr>
        <w:numPr>
          <w:ilvl w:val="0"/>
          <w:numId w:val="41"/>
        </w:numPr>
        <w:overflowPunct/>
        <w:autoSpaceDE/>
        <w:autoSpaceDN/>
        <w:adjustRightInd/>
        <w:spacing w:after="0"/>
        <w:textAlignment w:val="auto"/>
        <w:rPr>
          <w:rFonts w:ascii="Times" w:eastAsia="Batang" w:hAnsi="Times"/>
          <w:szCs w:val="24"/>
          <w:lang w:eastAsia="x-none"/>
        </w:rPr>
      </w:pPr>
      <w:r w:rsidRPr="00E50F1C">
        <w:rPr>
          <w:rFonts w:ascii="Times" w:eastAsia="Batang" w:hAnsi="Times"/>
          <w:szCs w:val="24"/>
          <w:lang w:eastAsia="x-none"/>
        </w:rPr>
        <w:t>Inclusion of the CSI-RS and RMSI-CORESET(s)+PDSCH(s) (carrying RMSI) associated with SS/PBCH block(s) in addition to the SS/PBCH burst set in one contiguous burst (tentatively referred to as the NR-U DRS) can be beneficial for</w:t>
      </w:r>
    </w:p>
    <w:p w14:paraId="42B9C0E1"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Meeting OCB requirement</w:t>
      </w:r>
    </w:p>
    <w:p w14:paraId="6B295253"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Compacting signals in time domain to limit the required number of channel access and for short channel occupancy</w:t>
      </w:r>
    </w:p>
    <w:p w14:paraId="2B482B25"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Support of stand-alone NR-U deployments</w:t>
      </w:r>
    </w:p>
    <w:p w14:paraId="0AAC00FD"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 xml:space="preserve">Support of automatic neighbour relations (ANR) functionality in an NR-U deployment </w:t>
      </w:r>
    </w:p>
    <w:p w14:paraId="03AE9586"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Resolution of PCI confusion in an NR-U deployment</w:t>
      </w:r>
    </w:p>
    <w:p w14:paraId="5BAADE37"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Note: The NR-U DRS (it can be called something else in the future) can include signals and channels that are required for cell acquisition etc. and is not limited only to reference signals</w:t>
      </w:r>
    </w:p>
    <w:p w14:paraId="451BC816" w14:textId="77777777" w:rsidR="003D566A" w:rsidRPr="00E50F1C" w:rsidRDefault="003D566A" w:rsidP="003D566A">
      <w:pPr>
        <w:numPr>
          <w:ilvl w:val="0"/>
          <w:numId w:val="40"/>
        </w:numPr>
        <w:overflowPunct/>
        <w:autoSpaceDE/>
        <w:autoSpaceDN/>
        <w:adjustRightInd/>
        <w:spacing w:after="0"/>
        <w:textAlignment w:val="auto"/>
        <w:rPr>
          <w:rFonts w:ascii="Times" w:eastAsia="Batang" w:hAnsi="Times"/>
          <w:szCs w:val="24"/>
          <w:lang w:eastAsia="x-none"/>
        </w:rPr>
      </w:pPr>
      <w:r w:rsidRPr="00E50F1C">
        <w:rPr>
          <w:rFonts w:ascii="Times" w:eastAsia="Batang" w:hAnsi="Times"/>
          <w:szCs w:val="24"/>
          <w:lang w:eastAsia="x-none"/>
        </w:rPr>
        <w:t>The transmission of additional signals such as OSI and paging within the NR-U DRS is allowed and can be beneficial</w:t>
      </w:r>
    </w:p>
    <w:p w14:paraId="55D7C13E" w14:textId="77777777" w:rsidR="003D566A" w:rsidRDefault="003D566A" w:rsidP="003D566A">
      <w:pPr>
        <w:pStyle w:val="BodyText"/>
      </w:pPr>
      <w:r w:rsidRPr="00E50F1C">
        <w:rPr>
          <w:rFonts w:ascii="Times" w:eastAsia="Batang" w:hAnsi="Times"/>
          <w:szCs w:val="24"/>
          <w:lang w:eastAsia="x-none"/>
        </w:rPr>
        <w:t>Note: This does not imply that RMSI-CORESET+PDSCH and CSI-RS can only be transmitted as part of the NR-U DRS, and does not imply that these are necessarily part of all NR-U DRS transmissions.</w:t>
      </w:r>
    </w:p>
    <w:p w14:paraId="7C48702B" w14:textId="05C3490C" w:rsidR="00477768" w:rsidRPr="00CE0424" w:rsidRDefault="003D566A" w:rsidP="003D566A">
      <w:pPr>
        <w:pStyle w:val="BodyText"/>
      </w:pPr>
      <w:r>
        <w:t>In this contribution we discuss DL design consideration for NR-U, i.e. NR-U discovery reference signal (NR-U DRS), control channel (PDCCH), and data channel (PDSCH).</w:t>
      </w:r>
    </w:p>
    <w:p w14:paraId="020415C4" w14:textId="36EE8CAB" w:rsidR="004000E8" w:rsidRDefault="00230D18" w:rsidP="00CE0424">
      <w:pPr>
        <w:pStyle w:val="Heading1"/>
      </w:pPr>
      <w:bookmarkStart w:id="1" w:name="_Ref178064866"/>
      <w:r>
        <w:lastRenderedPageBreak/>
        <w:t>2</w:t>
      </w:r>
      <w:r>
        <w:tab/>
      </w:r>
      <w:r w:rsidR="004000E8" w:rsidRPr="00CE0424">
        <w:t>Discussion</w:t>
      </w:r>
      <w:bookmarkEnd w:id="1"/>
    </w:p>
    <w:p w14:paraId="701E5CD0" w14:textId="77777777" w:rsidR="0090673E" w:rsidRDefault="0090673E" w:rsidP="0090673E">
      <w:pPr>
        <w:pStyle w:val="Heading2"/>
      </w:pPr>
      <w:r>
        <w:t>2.1</w:t>
      </w:r>
      <w:r>
        <w:tab/>
        <w:t>DL discovery reference signal (DRS)</w:t>
      </w:r>
    </w:p>
    <w:p w14:paraId="57DB845B" w14:textId="29A3E70B" w:rsidR="0090673E" w:rsidRDefault="0090673E" w:rsidP="0090673E">
      <w:pPr>
        <w:pStyle w:val="BodyText"/>
      </w:pPr>
      <w:r>
        <w:t>For procedural aspects of initial access and RRM see our companion paper</w:t>
      </w:r>
      <w:r w:rsidR="008714E1">
        <w:t xml:space="preserve"> </w:t>
      </w:r>
      <w:r w:rsidR="008714E1">
        <w:fldChar w:fldCharType="begin"/>
      </w:r>
      <w:r w:rsidR="008714E1">
        <w:instrText xml:space="preserve"> REF _Ref521494943 \r \h </w:instrText>
      </w:r>
      <w:r w:rsidR="008714E1">
        <w:fldChar w:fldCharType="separate"/>
      </w:r>
      <w:r w:rsidR="00B9379E">
        <w:t>[3]</w:t>
      </w:r>
      <w:r w:rsidR="008714E1">
        <w:fldChar w:fldCharType="end"/>
      </w:r>
      <w:r>
        <w:t>.</w:t>
      </w:r>
    </w:p>
    <w:p w14:paraId="1B718D5F" w14:textId="77777777" w:rsidR="0090673E" w:rsidRDefault="0090673E" w:rsidP="0090673E">
      <w:pPr>
        <w:pStyle w:val="BodyText"/>
      </w:pPr>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6E494815" w14:textId="660A2AF1" w:rsidR="0090673E" w:rsidRDefault="0090673E" w:rsidP="0090673E">
      <w:pPr>
        <w:pStyle w:val="Observation"/>
      </w:pPr>
      <w:bookmarkStart w:id="2" w:name="_Toc528958965"/>
      <w:r>
        <w:t>For efficient operation in unlicensed spectrum, always-on-transmissions should be kept at a minimum and be concentrated in time as much as possible.</w:t>
      </w:r>
      <w:bookmarkEnd w:id="2"/>
    </w:p>
    <w:p w14:paraId="04FE10DA" w14:textId="2B7C2067" w:rsidR="0073777B" w:rsidRPr="00953D2A" w:rsidRDefault="0032205A" w:rsidP="00F93277">
      <w:pPr>
        <w:pStyle w:val="BodyText"/>
        <w:rPr>
          <w:highlight w:val="yellow"/>
        </w:rPr>
      </w:pPr>
      <w:r w:rsidRPr="007D7E5B">
        <w:t>In RAN1#94 it was agreed that inclusion of CSI-RS and RMSI-CORESET(s)+PDSCH(s) (carrying RMSI) in the NR-U DRS is beneficial.</w:t>
      </w:r>
      <w:r w:rsidR="00826B2F">
        <w:t xml:space="preserve"> In this section we further discuss transmission periodicities and ways of achieving efficient multiplexing of SS/PBCH block(s) and RMSI.</w:t>
      </w:r>
      <w:r w:rsidR="00826B2F" w:rsidRPr="007D7E5B" w:rsidDel="00826B2F">
        <w:t xml:space="preserve"> </w:t>
      </w:r>
    </w:p>
    <w:p w14:paraId="61C69644" w14:textId="4170399D" w:rsidR="0090673E" w:rsidRDefault="0090673E" w:rsidP="000122F3">
      <w:pPr>
        <w:pStyle w:val="BodyText"/>
      </w:pPr>
      <w:r>
        <w:t xml:space="preserve">NR </w:t>
      </w:r>
      <w:r w:rsidRPr="000122F3">
        <w:t>supports</w:t>
      </w:r>
      <w:r>
        <w:t xml:space="preserve"> the following SS/PBCH Block periods {5, 10, 20, 40, 80, 160} </w:t>
      </w:r>
      <w:proofErr w:type="spellStart"/>
      <w:r>
        <w:t>ms</w:t>
      </w:r>
      <w:proofErr w:type="spellEnd"/>
      <w:r>
        <w:t xml:space="preserve">. In Rel-13 LAA the supported DRS periodicities are 40 ms, 80 ms and 160 ms, thus considering Observation 1 we make the following proposal: </w:t>
      </w:r>
    </w:p>
    <w:p w14:paraId="3F70267F" w14:textId="4D18E687" w:rsidR="00732225" w:rsidRDefault="0090673E" w:rsidP="00CC1C9B">
      <w:pPr>
        <w:pStyle w:val="Proposal"/>
      </w:pPr>
      <w:bookmarkStart w:id="3" w:name="_Toc528958958"/>
      <w:r>
        <w:t xml:space="preserve">Support </w:t>
      </w:r>
      <w:r w:rsidR="009C4216">
        <w:t xml:space="preserve">NR-U </w:t>
      </w:r>
      <w:r>
        <w:t>DRS periodicities of [40 ms, 80 ms and 160 ms].</w:t>
      </w:r>
      <w:bookmarkEnd w:id="3"/>
    </w:p>
    <w:p w14:paraId="674C574F" w14:textId="2266C6D7" w:rsidR="000E5A29" w:rsidRDefault="00B11E61" w:rsidP="00CC1C9B">
      <w:pPr>
        <w:pStyle w:val="BodyText"/>
      </w:pPr>
      <w:r>
        <w:t>In many parts of the world the regulation for unlicensed bands include EIRP limits. Because the beamforming gain is included in the EIRP, using beamforming to increase coverage might not be feasible</w:t>
      </w:r>
      <w:r w:rsidR="00FC41D0">
        <w:t xml:space="preserve"> (assuming the device </w:t>
      </w:r>
      <w:r w:rsidR="00FC41D0" w:rsidRPr="00FC41D0">
        <w:t>is able to reach maximum output power with omni-directi</w:t>
      </w:r>
      <w:r w:rsidR="00FC41D0">
        <w:t>onal transmissions)</w:t>
      </w:r>
      <w:r>
        <w:t xml:space="preserve">. However, in general beamforming can also be used to reduce interference. As discussed in </w:t>
      </w:r>
      <w:r w:rsidR="003B514F">
        <w:fldChar w:fldCharType="begin"/>
      </w:r>
      <w:r w:rsidR="003B514F">
        <w:instrText xml:space="preserve"> REF _Ref521494943 \r \h </w:instrText>
      </w:r>
      <w:r w:rsidR="003B514F">
        <w:fldChar w:fldCharType="separate"/>
      </w:r>
      <w:r w:rsidR="00B9379E">
        <w:t>[3]</w:t>
      </w:r>
      <w:r w:rsidR="003B514F">
        <w:fldChar w:fldCharType="end"/>
      </w:r>
      <w:r w:rsidR="0079121A">
        <w:t xml:space="preserve"> NR supports that the UE indicates the best SS/PBCH block to the gNB using the RACH procedure. This information can then be used in the gNB precoder selection</w:t>
      </w:r>
      <w:r w:rsidR="00FC41D0">
        <w:t xml:space="preserve">, allowing the gNB to reduce interference for upcoming </w:t>
      </w:r>
      <w:r w:rsidR="00354B73">
        <w:t xml:space="preserve">beamformed PDSCH </w:t>
      </w:r>
      <w:r w:rsidR="00FC41D0">
        <w:t>transmissions.</w:t>
      </w:r>
      <w:r w:rsidR="0079121A">
        <w:t xml:space="preserve"> Thus, we think that even </w:t>
      </w:r>
      <w:r w:rsidR="00FC41D0">
        <w:t>for the cases where S</w:t>
      </w:r>
      <w:r w:rsidR="0079121A">
        <w:t>S/PBCH block coverage cannot be improved by beamforming</w:t>
      </w:r>
      <w:r w:rsidR="00BB6EBB">
        <w:t>,</w:t>
      </w:r>
      <w:r w:rsidR="0079121A">
        <w:t xml:space="preserve"> supporting beamformed SS/PBCH blocks has other merits.</w:t>
      </w:r>
      <w:r w:rsidR="00B204D9">
        <w:t xml:space="preserve"> Thus, we see no reason to restrict this for NR-U.</w:t>
      </w:r>
    </w:p>
    <w:p w14:paraId="16481374" w14:textId="2DAB0D5D" w:rsidR="0079121A" w:rsidRDefault="00B204D9" w:rsidP="00F93277">
      <w:pPr>
        <w:pStyle w:val="Observation"/>
      </w:pPr>
      <w:bookmarkStart w:id="4" w:name="_Toc528958966"/>
      <w:r>
        <w:t>NR s</w:t>
      </w:r>
      <w:r w:rsidR="0079121A">
        <w:t>upport</w:t>
      </w:r>
      <w:r>
        <w:t>s</w:t>
      </w:r>
      <w:r w:rsidR="0079121A">
        <w:t xml:space="preserve"> beamformed SS/PBCH block</w:t>
      </w:r>
      <w:r w:rsidR="00110211">
        <w:t xml:space="preserve"> transmissions</w:t>
      </w:r>
      <w:r w:rsidR="0079121A">
        <w:t xml:space="preserve"> </w:t>
      </w:r>
      <w:r>
        <w:t xml:space="preserve">and thus </w:t>
      </w:r>
      <w:r w:rsidR="00120E65">
        <w:t>we see no reason to restrict this for NR-U</w:t>
      </w:r>
      <w:r w:rsidR="0079121A">
        <w:t>.</w:t>
      </w:r>
      <w:bookmarkEnd w:id="4"/>
    </w:p>
    <w:p w14:paraId="5CDD5A17" w14:textId="6C6A2526" w:rsidR="00AE22A5" w:rsidRDefault="00110211" w:rsidP="0088223C">
      <w:pPr>
        <w:pStyle w:val="BodyText"/>
        <w:rPr>
          <w:lang w:val="en-US"/>
        </w:rPr>
      </w:pPr>
      <w:r>
        <w:rPr>
          <w:lang w:val="en-US"/>
        </w:rPr>
        <w:t>One</w:t>
      </w:r>
      <w:r w:rsidR="00CE2E5D">
        <w:rPr>
          <w:lang w:val="en-US"/>
        </w:rPr>
        <w:t xml:space="preserve"> example of a potential </w:t>
      </w:r>
      <w:r w:rsidR="00D41133">
        <w:rPr>
          <w:lang w:val="en-US"/>
        </w:rPr>
        <w:t xml:space="preserve">compact </w:t>
      </w:r>
      <w:r w:rsidR="00CE2E5D">
        <w:rPr>
          <w:lang w:val="en-US"/>
        </w:rPr>
        <w:t xml:space="preserve">DRS composition </w:t>
      </w:r>
      <w:r w:rsidR="003C552C">
        <w:rPr>
          <w:lang w:val="en-US"/>
        </w:rPr>
        <w:t xml:space="preserve">for 30kHz subcarrier spacing </w:t>
      </w:r>
      <w:r w:rsidR="00CE2E5D">
        <w:rPr>
          <w:lang w:val="en-US"/>
        </w:rPr>
        <w:t xml:space="preserve">is shown in Figure </w:t>
      </w:r>
      <w:r w:rsidR="00D020C5">
        <w:rPr>
          <w:lang w:val="en-US"/>
        </w:rPr>
        <w:t>1</w:t>
      </w:r>
      <w:r w:rsidR="00CE2E5D">
        <w:rPr>
          <w:lang w:val="en-US"/>
        </w:rPr>
        <w:t>.</w:t>
      </w:r>
      <w:r w:rsidR="003C552C">
        <w:rPr>
          <w:lang w:val="en-US"/>
        </w:rPr>
        <w:t xml:space="preserve"> The length is restricted to 1 ms to be able to reuse the LAA-DRS channel access rules. Because </w:t>
      </w:r>
      <w:r w:rsidR="00D41133">
        <w:rPr>
          <w:lang w:val="en-US"/>
        </w:rPr>
        <w:t xml:space="preserve">a </w:t>
      </w:r>
      <w:r w:rsidR="003C552C">
        <w:rPr>
          <w:lang w:val="en-US"/>
        </w:rPr>
        <w:t xml:space="preserve">PDCCH search space </w:t>
      </w:r>
      <w:r w:rsidR="00D41133">
        <w:rPr>
          <w:lang w:val="en-US"/>
        </w:rPr>
        <w:t xml:space="preserve">occurs </w:t>
      </w:r>
      <w:r w:rsidR="003C552C">
        <w:rPr>
          <w:lang w:val="en-US"/>
        </w:rPr>
        <w:t>every 7 OS</w:t>
      </w:r>
      <w:r w:rsidR="00D41133">
        <w:rPr>
          <w:lang w:val="en-US"/>
        </w:rPr>
        <w:t xml:space="preserve"> (see discussion in next section)</w:t>
      </w:r>
      <w:r w:rsidR="003C552C">
        <w:rPr>
          <w:lang w:val="en-US"/>
        </w:rPr>
        <w:t>, LBT can be attempted every half-slot. In the figure</w:t>
      </w:r>
      <w:r w:rsidR="00BB6EBB">
        <w:rPr>
          <w:lang w:val="en-US"/>
        </w:rPr>
        <w:t>,</w:t>
      </w:r>
      <w:r w:rsidR="003C552C">
        <w:rPr>
          <w:lang w:val="en-US"/>
        </w:rPr>
        <w:t xml:space="preserve"> SSB</w:t>
      </w:r>
      <w:r w:rsidR="00D40F2E">
        <w:rPr>
          <w:lang w:val="en-US"/>
        </w:rPr>
        <w:t>X</w:t>
      </w:r>
      <w:r w:rsidR="003C552C">
        <w:rPr>
          <w:lang w:val="en-US"/>
        </w:rPr>
        <w:t xml:space="preserve"> (</w:t>
      </w:r>
      <w:r w:rsidR="00D40F2E">
        <w:rPr>
          <w:lang w:val="en-US"/>
        </w:rPr>
        <w:t>Y</w:t>
      </w:r>
      <w:r w:rsidR="003C552C">
        <w:rPr>
          <w:lang w:val="en-US"/>
        </w:rPr>
        <w:t xml:space="preserve">) denotes </w:t>
      </w:r>
      <w:r w:rsidR="00917097">
        <w:rPr>
          <w:lang w:val="en-US"/>
        </w:rPr>
        <w:t xml:space="preserve">an </w:t>
      </w:r>
      <w:r w:rsidR="003C552C">
        <w:rPr>
          <w:lang w:val="en-US"/>
        </w:rPr>
        <w:t xml:space="preserve">SS/PBCH block with index </w:t>
      </w:r>
      <w:r w:rsidR="00D40F2E">
        <w:rPr>
          <w:lang w:val="en-US"/>
        </w:rPr>
        <w:t>X</w:t>
      </w:r>
      <w:r w:rsidR="003C552C">
        <w:rPr>
          <w:lang w:val="en-US"/>
        </w:rPr>
        <w:t xml:space="preserve"> </w:t>
      </w:r>
      <w:r w:rsidR="00917097">
        <w:rPr>
          <w:lang w:val="en-US"/>
        </w:rPr>
        <w:t xml:space="preserve">and </w:t>
      </w:r>
      <w:r w:rsidR="003C552C">
        <w:rPr>
          <w:lang w:val="en-US"/>
        </w:rPr>
        <w:t xml:space="preserve">effective SS/PBCH block index </w:t>
      </w:r>
      <w:r w:rsidR="00D40F2E">
        <w:rPr>
          <w:lang w:val="en-US"/>
        </w:rPr>
        <w:t>Y</w:t>
      </w:r>
      <w:r w:rsidR="003C552C">
        <w:rPr>
          <w:lang w:val="en-US"/>
        </w:rPr>
        <w:t xml:space="preserve"> as discussed in </w:t>
      </w:r>
      <w:r w:rsidR="003C552C">
        <w:fldChar w:fldCharType="begin"/>
      </w:r>
      <w:r w:rsidR="003C552C">
        <w:instrText xml:space="preserve"> REF _Ref521494943 \r \h </w:instrText>
      </w:r>
      <w:r w:rsidR="003C552C">
        <w:fldChar w:fldCharType="separate"/>
      </w:r>
      <w:r w:rsidR="00B9379E">
        <w:t>[3]</w:t>
      </w:r>
      <w:r w:rsidR="003C552C">
        <w:fldChar w:fldCharType="end"/>
      </w:r>
      <w:r w:rsidR="003C552C">
        <w:t>.</w:t>
      </w:r>
      <w:r w:rsidR="00B41302">
        <w:t xml:space="preserve"> In this example, the DRS is time shifted by a half slot due to LBT failure at the beginning of the first slot. As discussed in </w:t>
      </w:r>
      <w:r w:rsidR="00B41302">
        <w:fldChar w:fldCharType="begin"/>
      </w:r>
      <w:r w:rsidR="00B41302">
        <w:instrText xml:space="preserve"> REF _Ref521494943 \r \h </w:instrText>
      </w:r>
      <w:r w:rsidR="00B41302">
        <w:fldChar w:fldCharType="separate"/>
      </w:r>
      <w:r w:rsidR="00B9379E">
        <w:t>[3]</w:t>
      </w:r>
      <w:r w:rsidR="00B41302">
        <w:fldChar w:fldCharType="end"/>
      </w:r>
      <w:r w:rsidR="00B41302">
        <w:t xml:space="preserve">, the effective index Y allows the UE to determine which SS/PBCH </w:t>
      </w:r>
      <w:r w:rsidR="001714B7">
        <w:t>b</w:t>
      </w:r>
      <w:r w:rsidR="00B41302">
        <w:t xml:space="preserve">lock from one DRS burst to another </w:t>
      </w:r>
      <w:r w:rsidR="001714B7">
        <w:t xml:space="preserve">that </w:t>
      </w:r>
      <w:r w:rsidR="00B41302">
        <w:t xml:space="preserve">are </w:t>
      </w:r>
      <w:proofErr w:type="spellStart"/>
      <w:r w:rsidR="00B41302">
        <w:t>QCL’d</w:t>
      </w:r>
      <w:proofErr w:type="spellEnd"/>
      <w:r w:rsidR="00B41302">
        <w:t xml:space="preserve">, even though the SS/PBCH </w:t>
      </w:r>
      <w:r w:rsidR="005A67D0">
        <w:t xml:space="preserve">actual </w:t>
      </w:r>
      <w:proofErr w:type="spellStart"/>
      <w:r w:rsidR="005A67D0">
        <w:t>signaled</w:t>
      </w:r>
      <w:proofErr w:type="spellEnd"/>
      <w:r w:rsidR="005A67D0">
        <w:t xml:space="preserve"> </w:t>
      </w:r>
      <w:r w:rsidR="00B41302">
        <w:t>block indices X may be different from burst to burst</w:t>
      </w:r>
      <w:r w:rsidR="005A67D0">
        <w:t xml:space="preserve"> because of potential time shifting due to LBT failure</w:t>
      </w:r>
      <w:r w:rsidR="00B41302">
        <w:t>.</w:t>
      </w:r>
    </w:p>
    <w:p w14:paraId="54A575E9" w14:textId="46B5FE53" w:rsidR="00CE2E5D" w:rsidRDefault="00917097" w:rsidP="00CE2E5D">
      <w:pPr>
        <w:pStyle w:val="TH"/>
        <w:rPr>
          <w:lang w:val="en-US"/>
        </w:rPr>
      </w:pPr>
      <w:r w:rsidRPr="00917097">
        <w:rPr>
          <w:noProof/>
        </w:rPr>
        <w:t xml:space="preserve"> </w:t>
      </w:r>
      <w:r w:rsidR="00F52508" w:rsidRPr="00F52508">
        <w:rPr>
          <w:noProof/>
        </w:rPr>
        <w:drawing>
          <wp:inline distT="0" distB="0" distL="0" distR="0" wp14:anchorId="4EEA8AE5" wp14:editId="152572D4">
            <wp:extent cx="6138407" cy="134363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9715" r="7863"/>
                    <a:stretch/>
                  </pic:blipFill>
                  <pic:spPr bwMode="auto">
                    <a:xfrm>
                      <a:off x="0" y="0"/>
                      <a:ext cx="6155891" cy="1347465"/>
                    </a:xfrm>
                    <a:prstGeom prst="rect">
                      <a:avLst/>
                    </a:prstGeom>
                    <a:ln>
                      <a:noFill/>
                    </a:ln>
                    <a:extLst>
                      <a:ext uri="{53640926-AAD7-44D8-BBD7-CCE9431645EC}">
                        <a14:shadowObscured xmlns:a14="http://schemas.microsoft.com/office/drawing/2010/main"/>
                      </a:ext>
                    </a:extLst>
                  </pic:spPr>
                </pic:pic>
              </a:graphicData>
            </a:graphic>
          </wp:inline>
        </w:drawing>
      </w:r>
    </w:p>
    <w:p w14:paraId="1213D241" w14:textId="4E0A1339" w:rsidR="00CE2E5D" w:rsidRDefault="00CE2E5D" w:rsidP="00CE2E5D">
      <w:pPr>
        <w:pStyle w:val="TF"/>
        <w:rPr>
          <w:lang w:val="en-US"/>
        </w:rPr>
      </w:pPr>
      <w:r w:rsidRPr="001D6C5F">
        <w:rPr>
          <w:lang w:val="en-US"/>
        </w:rPr>
        <w:t xml:space="preserve">Figure </w:t>
      </w:r>
      <w:r w:rsidR="00110211">
        <w:rPr>
          <w:lang w:val="en-US"/>
        </w:rPr>
        <w:t>1</w:t>
      </w:r>
      <w:r w:rsidRPr="001D6C5F">
        <w:rPr>
          <w:lang w:val="en-US"/>
        </w:rPr>
        <w:t xml:space="preserve">: </w:t>
      </w:r>
      <w:r w:rsidR="00BB6EBB">
        <w:rPr>
          <w:lang w:val="en-US"/>
        </w:rPr>
        <w:t>Example</w:t>
      </w:r>
      <w:r w:rsidRPr="001D6C5F">
        <w:rPr>
          <w:lang w:val="en-US"/>
        </w:rPr>
        <w:t xml:space="preserve"> </w:t>
      </w:r>
      <w:r w:rsidR="00BB6EBB">
        <w:rPr>
          <w:lang w:val="en-US"/>
        </w:rPr>
        <w:t xml:space="preserve">of a potential </w:t>
      </w:r>
      <w:r w:rsidRPr="001D6C5F">
        <w:rPr>
          <w:lang w:val="en-US"/>
        </w:rPr>
        <w:t>DRS composition</w:t>
      </w:r>
      <w:r w:rsidR="00917097">
        <w:rPr>
          <w:lang w:val="en-US"/>
        </w:rPr>
        <w:t xml:space="preserve"> for 30kHz subcarrier spacing</w:t>
      </w:r>
      <w:r>
        <w:rPr>
          <w:lang w:val="en-US"/>
        </w:rPr>
        <w:t>.</w:t>
      </w:r>
    </w:p>
    <w:p w14:paraId="0D4272E5" w14:textId="10936F58" w:rsidR="00367BD6" w:rsidRDefault="00BB6EBB" w:rsidP="00CE2E5D">
      <w:pPr>
        <w:pStyle w:val="BodyText"/>
        <w:rPr>
          <w:lang w:val="en-US"/>
        </w:rPr>
      </w:pPr>
      <w:r>
        <w:rPr>
          <w:lang w:val="en-US"/>
        </w:rPr>
        <w:t>To improve robustness of the SIB1 transmission it is desirable to enable soft combining of the different redundancy versions.</w:t>
      </w:r>
      <w:r w:rsidR="001A40F0">
        <w:rPr>
          <w:lang w:val="en-US"/>
        </w:rPr>
        <w:t xml:space="preserve"> In this example RV0 and RV3 has been chosen as they are self-decodable.</w:t>
      </w:r>
    </w:p>
    <w:p w14:paraId="7BC40366" w14:textId="111243EB" w:rsidR="0088223C" w:rsidRDefault="006D4DA4" w:rsidP="00F93277">
      <w:pPr>
        <w:pStyle w:val="Observation"/>
        <w:rPr>
          <w:lang w:val="en-US"/>
        </w:rPr>
      </w:pPr>
      <w:bookmarkStart w:id="5" w:name="_Toc528958967"/>
      <w:r>
        <w:rPr>
          <w:lang w:val="en-US"/>
        </w:rPr>
        <w:t>Using Rel-15 NR mechanisms</w:t>
      </w:r>
      <w:r w:rsidR="005A67D0">
        <w:rPr>
          <w:lang w:val="en-US"/>
        </w:rPr>
        <w:t>,</w:t>
      </w:r>
      <w:r>
        <w:rPr>
          <w:lang w:val="en-US"/>
        </w:rPr>
        <w:t xml:space="preserve"> t</w:t>
      </w:r>
      <w:r w:rsidR="00561A5B">
        <w:rPr>
          <w:lang w:val="en-US"/>
        </w:rPr>
        <w:t xml:space="preserve">he UE can soft combine </w:t>
      </w:r>
      <w:r w:rsidR="003D6CE8">
        <w:rPr>
          <w:lang w:val="en-US"/>
        </w:rPr>
        <w:t>different SIB1 redundancy versions</w:t>
      </w:r>
      <w:r w:rsidR="00401154">
        <w:rPr>
          <w:lang w:val="en-US"/>
        </w:rPr>
        <w:t xml:space="preserve"> in the DRS</w:t>
      </w:r>
      <w:r w:rsidR="003D6CE8">
        <w:rPr>
          <w:lang w:val="en-US"/>
        </w:rPr>
        <w:t>.</w:t>
      </w:r>
      <w:bookmarkEnd w:id="5"/>
    </w:p>
    <w:p w14:paraId="04C43AE2" w14:textId="4274C4B6" w:rsidR="00E83E44" w:rsidRDefault="00E83E44" w:rsidP="00A801B1">
      <w:pPr>
        <w:pStyle w:val="BodyText"/>
        <w:rPr>
          <w:lang w:val="en-US"/>
        </w:rPr>
      </w:pPr>
      <w:r w:rsidRPr="00A801B1">
        <w:rPr>
          <w:lang w:val="en-US"/>
        </w:rPr>
        <w:lastRenderedPageBreak/>
        <w:t xml:space="preserve">In RAN1#94b it was for further study if and how to support beam repetition for soft combining of SSBs within the same DRS transmission. Using the mechanism in </w:t>
      </w:r>
      <w:r>
        <w:fldChar w:fldCharType="begin"/>
      </w:r>
      <w:r>
        <w:instrText xml:space="preserve"> REF _Ref521494943 \r \h </w:instrText>
      </w:r>
      <w:r>
        <w:fldChar w:fldCharType="separate"/>
      </w:r>
      <w:r w:rsidR="00B9379E">
        <w:t>[3]</w:t>
      </w:r>
      <w:r>
        <w:fldChar w:fldCharType="end"/>
      </w:r>
      <w:r w:rsidRPr="00A801B1">
        <w:rPr>
          <w:lang w:val="en-US"/>
        </w:rPr>
        <w:t xml:space="preserve"> with N=1</w:t>
      </w:r>
      <w:r w:rsidR="00A801B1">
        <w:rPr>
          <w:lang w:val="en-US"/>
        </w:rPr>
        <w:t>,</w:t>
      </w:r>
      <w:r w:rsidRPr="00A801B1">
        <w:rPr>
          <w:lang w:val="en-US"/>
        </w:rPr>
        <w:t xml:space="preserve"> basic repetition can be achieved. To support soft combining </w:t>
      </w:r>
      <w:r w:rsidR="00A801B1">
        <w:rPr>
          <w:lang w:val="en-US"/>
        </w:rPr>
        <w:t xml:space="preserve">of PBCH within a SS/PBCH block burst, </w:t>
      </w:r>
      <w:r w:rsidRPr="00A801B1">
        <w:rPr>
          <w:lang w:val="en-US"/>
        </w:rPr>
        <w:t>larger specification impacts are foreseen and it is not clear how the UE would derive the frame timing in such a scheme</w:t>
      </w:r>
    </w:p>
    <w:p w14:paraId="44A2EFC9" w14:textId="35FCCEE2" w:rsidR="00AD155A" w:rsidRDefault="00AD155A" w:rsidP="00A801B1">
      <w:pPr>
        <w:pStyle w:val="BodyText"/>
        <w:rPr>
          <w:lang w:val="en-US"/>
        </w:rPr>
      </w:pPr>
      <w:r w:rsidRPr="00AD155A">
        <w:rPr>
          <w:noProof/>
          <w:lang w:val="en-US"/>
        </w:rPr>
        <w:drawing>
          <wp:inline distT="0" distB="0" distL="0" distR="0" wp14:anchorId="133B5AEE" wp14:editId="3E9B7D4F">
            <wp:extent cx="6042285" cy="12594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9726" r="8246"/>
                    <a:stretch/>
                  </pic:blipFill>
                  <pic:spPr bwMode="auto">
                    <a:xfrm>
                      <a:off x="0" y="0"/>
                      <a:ext cx="6080543" cy="1267432"/>
                    </a:xfrm>
                    <a:prstGeom prst="rect">
                      <a:avLst/>
                    </a:prstGeom>
                    <a:noFill/>
                    <a:ln>
                      <a:noFill/>
                    </a:ln>
                    <a:extLst>
                      <a:ext uri="{53640926-AAD7-44D8-BBD7-CCE9431645EC}">
                        <a14:shadowObscured xmlns:a14="http://schemas.microsoft.com/office/drawing/2010/main"/>
                      </a:ext>
                    </a:extLst>
                  </pic:spPr>
                </pic:pic>
              </a:graphicData>
            </a:graphic>
          </wp:inline>
        </w:drawing>
      </w:r>
    </w:p>
    <w:p w14:paraId="36BB5CCB" w14:textId="4E11AA85" w:rsidR="00AD155A" w:rsidRDefault="00AD155A" w:rsidP="00AD155A">
      <w:pPr>
        <w:pStyle w:val="TF"/>
        <w:rPr>
          <w:lang w:val="en-US"/>
        </w:rPr>
      </w:pPr>
      <w:r w:rsidRPr="001D6C5F">
        <w:rPr>
          <w:lang w:val="en-US"/>
        </w:rPr>
        <w:t xml:space="preserve">Figure </w:t>
      </w:r>
      <w:r>
        <w:rPr>
          <w:lang w:val="en-US"/>
        </w:rPr>
        <w:t>2</w:t>
      </w:r>
      <w:r w:rsidRPr="001D6C5F">
        <w:rPr>
          <w:lang w:val="en-US"/>
        </w:rPr>
        <w:t xml:space="preserve">: </w:t>
      </w:r>
      <w:r>
        <w:rPr>
          <w:lang w:val="en-US"/>
        </w:rPr>
        <w:t>Example</w:t>
      </w:r>
      <w:r w:rsidRPr="001D6C5F">
        <w:rPr>
          <w:lang w:val="en-US"/>
        </w:rPr>
        <w:t xml:space="preserve"> </w:t>
      </w:r>
      <w:r>
        <w:rPr>
          <w:lang w:val="en-US"/>
        </w:rPr>
        <w:t xml:space="preserve">of a potential </w:t>
      </w:r>
      <w:r w:rsidRPr="001D6C5F">
        <w:rPr>
          <w:lang w:val="en-US"/>
        </w:rPr>
        <w:t>DRS composition</w:t>
      </w:r>
      <w:r>
        <w:rPr>
          <w:lang w:val="en-US"/>
        </w:rPr>
        <w:t xml:space="preserve"> for 30kHz subcarrier spacing, with N=1 achieving basic repetition.</w:t>
      </w:r>
    </w:p>
    <w:p w14:paraId="3E9997C2" w14:textId="77777777" w:rsidR="00AD155A" w:rsidRPr="00A801B1" w:rsidRDefault="00AD155A" w:rsidP="00A801B1">
      <w:pPr>
        <w:pStyle w:val="BodyText"/>
        <w:rPr>
          <w:lang w:val="en-US"/>
        </w:rPr>
      </w:pPr>
    </w:p>
    <w:p w14:paraId="79C7B4D5" w14:textId="77777777" w:rsidR="003D566A" w:rsidRDefault="003D566A" w:rsidP="003D566A">
      <w:pPr>
        <w:pStyle w:val="Heading3"/>
      </w:pPr>
      <w:r>
        <w:t>2.1.1 NR-U DRS and RMSI Multiplexing</w:t>
      </w:r>
    </w:p>
    <w:p w14:paraId="7D7143E4" w14:textId="378B3EAE" w:rsidR="003D566A" w:rsidRDefault="003D566A" w:rsidP="003D566A">
      <w:pPr>
        <w:pStyle w:val="BodyText"/>
      </w:pPr>
      <w:r>
        <w:t>In RAN1#</w:t>
      </w:r>
      <w:r w:rsidR="002F6CD0">
        <w:t>9</w:t>
      </w:r>
      <w:r>
        <w:t xml:space="preserve">4 it was agreed that inclusion of </w:t>
      </w:r>
      <w:r w:rsidRPr="00C94BBE">
        <w:t>RMSI-CORESET(s)+PDSCH(s) (carrying RMSI)</w:t>
      </w:r>
      <w:r>
        <w:t xml:space="preserve"> in the NR-U DRS is beneficial. In this section we discuss changes needed to Rel-15 NR to accomplish this in an efficient way and in particular we provide example configurations realizing the NR-U DRS depicted in Figure 1.</w:t>
      </w:r>
    </w:p>
    <w:p w14:paraId="7D466D0C" w14:textId="6C12B907" w:rsidR="003D566A" w:rsidRDefault="003D566A" w:rsidP="003D566A">
      <w:pPr>
        <w:pStyle w:val="BodyText"/>
        <w:rPr>
          <w:iCs/>
        </w:rPr>
      </w:pPr>
      <w:r>
        <w:t xml:space="preserve">The UE determines a number of consecutive resource blocks and a number of consecutive symbols for the control resource set of the Type0-PDCCH common search space from the four most significant bits of </w:t>
      </w:r>
      <w:r>
        <w:rPr>
          <w:i/>
          <w:iCs/>
        </w:rPr>
        <w:t xml:space="preserve">pdcch-ConfigSIB1 </w:t>
      </w:r>
      <w:r w:rsidR="00F447AF">
        <w:rPr>
          <w:iCs/>
        </w:rPr>
        <w:t xml:space="preserve">(included in the </w:t>
      </w:r>
      <w:r w:rsidR="00A16EAD" w:rsidRPr="007D7E5B">
        <w:rPr>
          <w:i/>
          <w:iCs/>
        </w:rPr>
        <w:t>MasterInformationBlock</w:t>
      </w:r>
      <w:r w:rsidR="00F447AF">
        <w:rPr>
          <w:iCs/>
        </w:rPr>
        <w:t xml:space="preserve">) </w:t>
      </w:r>
      <w:r>
        <w:t>as described in Tables 13-1 through 13-10 in 38.213</w:t>
      </w:r>
      <w:r w:rsidR="00F31AFC">
        <w:t>. The UE</w:t>
      </w:r>
      <w:r>
        <w:t xml:space="preserve"> determines PDCCH monitoring occasions from the four least significant bits of </w:t>
      </w:r>
      <w:r>
        <w:rPr>
          <w:i/>
          <w:iCs/>
        </w:rPr>
        <w:t>pdcch-ConfigSIB1</w:t>
      </w:r>
      <w:r>
        <w:t xml:space="preserve">, included in </w:t>
      </w:r>
      <w:r>
        <w:rPr>
          <w:i/>
          <w:iCs/>
        </w:rPr>
        <w:t>MasterInformationBlock.</w:t>
      </w:r>
      <w:r>
        <w:rPr>
          <w:iCs/>
        </w:rPr>
        <w:t xml:space="preserve"> Assuming 30 kHz sub-carrier spacing for both SS/PBCH block and PDCCH and a channel bandwidth of 20 MHz, the configurations in Table 13-4 are applicable. Using e.g. index 11 the CORESET would be 48 RBs wide in frequency, one symbol long in time and the SS/PBCH block would be</w:t>
      </w:r>
      <w:r w:rsidR="00F31AFC">
        <w:rPr>
          <w:iCs/>
        </w:rPr>
        <w:t xml:space="preserve"> </w:t>
      </w:r>
      <w:proofErr w:type="spellStart"/>
      <w:r>
        <w:rPr>
          <w:iCs/>
        </w:rPr>
        <w:t>centered</w:t>
      </w:r>
      <w:proofErr w:type="spellEnd"/>
      <w:r>
        <w:rPr>
          <w:iCs/>
        </w:rPr>
        <w:t xml:space="preserve"> in the middle of the CORESET as illustrated in Figure 1. </w:t>
      </w:r>
    </w:p>
    <w:p w14:paraId="11D262DE" w14:textId="3EABCB22" w:rsidR="003D566A" w:rsidRDefault="003D566A" w:rsidP="003D566A">
      <w:pPr>
        <w:pStyle w:val="BodyText"/>
      </w:pPr>
      <w:r>
        <w:t>Next</w:t>
      </w:r>
      <w:r w:rsidR="00F31AFC">
        <w:t>,</w:t>
      </w:r>
      <w:r>
        <w:t xml:space="preserve"> turn to the parameters for PDCCH monitoring occasions in Table 13-11</w:t>
      </w:r>
      <w:r w:rsidR="0041054B">
        <w:t xml:space="preserve"> in 38.213</w:t>
      </w:r>
      <w:r>
        <w:t>. To achieve a compact NR-U DRS design is preferable if the PDCCH is located in the same slot as the corresponding SS/PBCH block. Thus, using a configuration (such as index 1) with O=0 and 2 search space sets per slot can achieve this. However, in Table 13-11 all configurations have the second PDCCH monitoring occasion starting in the symbol after the first PDCCH monitoring occasion. Thus, to allow the PDCCH to be placed in the eighth symbol as shown in Figure 1 some minor modifications to the configurations would be needed.</w:t>
      </w:r>
    </w:p>
    <w:p w14:paraId="4C3DC02A" w14:textId="7C07C783" w:rsidR="00F31AFC" w:rsidRDefault="00F31AFC" w:rsidP="007D7E5B">
      <w:pPr>
        <w:pStyle w:val="Proposal"/>
      </w:pPr>
      <w:bookmarkStart w:id="6" w:name="_Toc528958959"/>
      <w:r>
        <w:t xml:space="preserve">For NR-U, </w:t>
      </w:r>
      <w:r w:rsidR="008C4786">
        <w:t xml:space="preserve">the SS/PBCH - CORESET multiplexing Pattern 1 is feasible for </w:t>
      </w:r>
      <w:r>
        <w:t>design</w:t>
      </w:r>
      <w:r w:rsidR="008C4786">
        <w:t>ing</w:t>
      </w:r>
      <w:r>
        <w:t xml:space="preserve"> </w:t>
      </w:r>
      <w:r w:rsidR="008C4786">
        <w:t xml:space="preserve">a compact </w:t>
      </w:r>
      <w:r>
        <w:t xml:space="preserve">DRS pattern in time in which </w:t>
      </w:r>
      <w:r w:rsidR="008C4786">
        <w:t>RMSI CORESET, PDSCH carrying RMSI, and an SS/PBCH block burst set are multiplexed by means of a combination of FDM and TDM.</w:t>
      </w:r>
      <w:bookmarkEnd w:id="6"/>
      <w:r w:rsidR="008C4786">
        <w:t xml:space="preserve"> </w:t>
      </w:r>
    </w:p>
    <w:p w14:paraId="4F279BB7" w14:textId="37CD1FB9" w:rsidR="003D566A" w:rsidRPr="0040615F" w:rsidRDefault="003D566A" w:rsidP="003D566A">
      <w:pPr>
        <w:pStyle w:val="Proposal"/>
      </w:pPr>
      <w:bookmarkStart w:id="7" w:name="_Toc528958960"/>
      <w:r>
        <w:t>Introduce at least one additional configuration for NR-U with the second PDCCH monitoring occasion in the Type0-PDCCH common search space placed at the 8</w:t>
      </w:r>
      <w:r w:rsidRPr="003A31B0">
        <w:rPr>
          <w:vertAlign w:val="superscript"/>
        </w:rPr>
        <w:t>th</w:t>
      </w:r>
      <w:r>
        <w:t xml:space="preserve"> symbol in a slot</w:t>
      </w:r>
      <w:r w:rsidR="00F31AFC">
        <w:t>, rather than the 2</w:t>
      </w:r>
      <w:r w:rsidR="00F31AFC" w:rsidRPr="007D7E5B">
        <w:rPr>
          <w:vertAlign w:val="superscript"/>
        </w:rPr>
        <w:t>nd</w:t>
      </w:r>
      <w:r w:rsidR="00F31AFC">
        <w:t>/3</w:t>
      </w:r>
      <w:r w:rsidR="00F31AFC" w:rsidRPr="007D7E5B">
        <w:rPr>
          <w:vertAlign w:val="superscript"/>
        </w:rPr>
        <w:t>rd</w:t>
      </w:r>
      <w:r w:rsidR="00F31AFC">
        <w:t xml:space="preserve"> symbol.</w:t>
      </w:r>
      <w:bookmarkEnd w:id="7"/>
    </w:p>
    <w:p w14:paraId="7BDCDA00" w14:textId="27DB8103" w:rsidR="003D566A" w:rsidRDefault="00A16EAD" w:rsidP="003D566A">
      <w:pPr>
        <w:pStyle w:val="BodyText"/>
      </w:pPr>
      <w:r>
        <w:br/>
      </w:r>
      <w:r w:rsidR="008C4786">
        <w:t>In NR Rel-15, w</w:t>
      </w:r>
      <w:r w:rsidR="003D566A">
        <w:t>hen receiving the PDSCH scheduled with SI-RNTI in PDCCH</w:t>
      </w:r>
      <w:r w:rsidR="0041054B">
        <w:t>-</w:t>
      </w:r>
      <w:r w:rsidR="003D566A">
        <w:t>Type0 common search space, the UE shall assume that no SS/PBCH block is transmitted in REs used by the UE for a reception of the PDSCH. This assumption restricts the multiplexing possibilities between SS/PBCH blocks and PDSCH carrying RMSI. Thus, we propose to modify this assumption for the NR-U DRS.</w:t>
      </w:r>
    </w:p>
    <w:p w14:paraId="62A4302D" w14:textId="4658BAA7" w:rsidR="003D566A" w:rsidRDefault="008C4786" w:rsidP="003D566A">
      <w:pPr>
        <w:pStyle w:val="Proposal"/>
      </w:pPr>
      <w:bookmarkStart w:id="8" w:name="_Toc528958961"/>
      <w:r>
        <w:t>To allow a combination of FDM and TDM multiplexing of SS/PBCH block and PDSCH carrying RMSI, r</w:t>
      </w:r>
      <w:r w:rsidR="003D566A">
        <w:t>evisit the assumption that no SS/PBCH block is transmitted in REs used by the UE for a reception of the PDSCH scheduled by SI-RNTI</w:t>
      </w:r>
      <w:bookmarkEnd w:id="8"/>
    </w:p>
    <w:p w14:paraId="16258AD6" w14:textId="6136B996" w:rsidR="00A5623E" w:rsidRDefault="00A5623E" w:rsidP="00A5623E">
      <w:pPr>
        <w:pStyle w:val="Heading2"/>
      </w:pPr>
      <w:r>
        <w:t>2.2</w:t>
      </w:r>
      <w:r>
        <w:tab/>
        <w:t>PDCCH/PDSCH design</w:t>
      </w:r>
    </w:p>
    <w:p w14:paraId="306ADB96" w14:textId="5AE21C14" w:rsidR="00A5623E" w:rsidRDefault="00A5623E" w:rsidP="00A5623E">
      <w:pPr>
        <w:pStyle w:val="BodyText"/>
      </w:pPr>
      <w:r>
        <w:t xml:space="preserve">In RAN1#92bis, it was agreed that “NR-U supports both Type-A and Type-B mapping, and “Additional starting positions and durations are not precluded”. Based on existing DL design in NR licensed, the following topics are discussed and </w:t>
      </w:r>
      <w:r w:rsidR="007957B3">
        <w:t>analysed</w:t>
      </w:r>
      <w:r>
        <w:t xml:space="preserve"> for NR unlicensed operation:</w:t>
      </w:r>
    </w:p>
    <w:p w14:paraId="0E76CF41" w14:textId="2F5C12D1" w:rsidR="00A5623E" w:rsidRDefault="00A5623E" w:rsidP="00A5623E">
      <w:pPr>
        <w:pStyle w:val="BodyText"/>
      </w:pPr>
      <w:r>
        <w:lastRenderedPageBreak/>
        <w:t>•</w:t>
      </w:r>
      <w:r>
        <w:tab/>
        <w:t>DL transmission identification</w:t>
      </w:r>
      <w:r w:rsidR="007957B3">
        <w:t>;</w:t>
      </w:r>
    </w:p>
    <w:p w14:paraId="7EF9A835" w14:textId="728EA9E7" w:rsidR="00A5623E" w:rsidRDefault="007957B3" w:rsidP="00A5623E">
      <w:pPr>
        <w:pStyle w:val="BodyText"/>
        <w:numPr>
          <w:ilvl w:val="0"/>
          <w:numId w:val="38"/>
        </w:numPr>
      </w:pPr>
      <w:r>
        <w:t xml:space="preserve">    </w:t>
      </w:r>
      <w:r w:rsidR="00C70B13">
        <w:t>PDCCH monitoring.</w:t>
      </w:r>
    </w:p>
    <w:p w14:paraId="6B5C4B5E" w14:textId="706D5204" w:rsidR="008B57E2" w:rsidRPr="009406F5" w:rsidRDefault="008B57E2" w:rsidP="008B57E2">
      <w:pPr>
        <w:pStyle w:val="Heading2"/>
      </w:pPr>
      <w:r>
        <w:t>2.2.1</w:t>
      </w:r>
      <w:r w:rsidR="001327D7">
        <w:tab/>
      </w:r>
      <w:r w:rsidRPr="009406F5">
        <w:t xml:space="preserve">DL </w:t>
      </w:r>
      <w:r w:rsidR="00D54F1F">
        <w:t>T</w:t>
      </w:r>
      <w:r w:rsidRPr="009406F5">
        <w:t xml:space="preserve">ransmission </w:t>
      </w:r>
      <w:r w:rsidR="00D54F1F">
        <w:t>I</w:t>
      </w:r>
      <w:r w:rsidRPr="009406F5">
        <w:t>dentification</w:t>
      </w:r>
    </w:p>
    <w:p w14:paraId="4EC4391A" w14:textId="2510A65B" w:rsidR="008B57E2" w:rsidRDefault="008B57E2" w:rsidP="008B57E2">
      <w:pPr>
        <w:pStyle w:val="BodyText"/>
      </w:pPr>
      <w:r>
        <w:t>DL transmission identification may be used by the UE to detect that there is a DL transmission in a particular slot before starting blind PDCCH decoding. This is an implementation choice for the UE and such transmission identification procedures could be used to save power. In LAA, CRS can potentially be used to serve this purpose</w:t>
      </w:r>
      <w:r w:rsidR="007E6BDB">
        <w:t>.</w:t>
      </w:r>
      <w:r>
        <w:t xml:space="preserve"> While NR doesn’t have a signal such as the CRS, other existing signals could be used after specific design. Particularly, each RRC connected UE could be configured with the same </w:t>
      </w:r>
      <w:r w:rsidR="007E6BDB">
        <w:t>T</w:t>
      </w:r>
      <w:r>
        <w:t xml:space="preserve">ype3-PDCCH common search space set, where the associated </w:t>
      </w:r>
      <w:r w:rsidR="007E6BDB">
        <w:t>CORESET</w:t>
      </w:r>
      <w:r>
        <w:t xml:space="preserve"> spans one LBT unit of 20MHz. At the same time, the number of </w:t>
      </w:r>
      <w:r w:rsidR="00F4423D">
        <w:t xml:space="preserve">PDCCH candidates could be configured as one in </w:t>
      </w:r>
      <w:r>
        <w:t>this group</w:t>
      </w:r>
      <w:r w:rsidR="00F4423D">
        <w:t>-</w:t>
      </w:r>
      <w:r>
        <w:t xml:space="preserve">common PDCCH to make </w:t>
      </w:r>
      <w:r w:rsidR="00483266">
        <w:t xml:space="preserve">the </w:t>
      </w:r>
      <w:r>
        <w:t xml:space="preserve">DM-RS position fixed in the frequency domain </w:t>
      </w:r>
      <w:r w:rsidR="00F4423D">
        <w:t>which would</w:t>
      </w:r>
      <w:r>
        <w:t xml:space="preserve"> minimize blind searching. </w:t>
      </w:r>
      <w:r w:rsidR="00DF08CF">
        <w:t>Under the assumption that a GC-PDCCH is always transmitted in every PDCCH monitoring occasion for a UE, the following behaviour could be adopted by the UE by implementation if such behaviour can lead to power savings given the UE’s implementation</w:t>
      </w:r>
      <w:r w:rsidR="00F4423D">
        <w:t>: t</w:t>
      </w:r>
      <w:r>
        <w:t>he UE first detects if DM-RS of GC</w:t>
      </w:r>
      <w:r w:rsidR="00D54F1F">
        <w:t>-</w:t>
      </w:r>
      <w:r>
        <w:t xml:space="preserve">PDCCH </w:t>
      </w:r>
      <w:r w:rsidR="00F4423D">
        <w:t>exists</w:t>
      </w:r>
      <w:r>
        <w:t xml:space="preserve"> in a configured </w:t>
      </w:r>
      <w:r w:rsidR="003D0540">
        <w:t>T</w:t>
      </w:r>
      <w:r>
        <w:t xml:space="preserve">ype3-PDCCH common search space. </w:t>
      </w:r>
      <w:r w:rsidR="00F4423D">
        <w:t>Second, i</w:t>
      </w:r>
      <w:r>
        <w:t>f the DMRS is detected,</w:t>
      </w:r>
      <w:r w:rsidR="00D85F8E">
        <w:t xml:space="preserve"> the UE performs further PDCCH monitoring. O</w:t>
      </w:r>
      <w:r>
        <w:t>therwise it continues to monitor DM-RS</w:t>
      </w:r>
      <w:r w:rsidR="00D85F8E">
        <w:t xml:space="preserve"> only</w:t>
      </w:r>
      <w:r>
        <w:t xml:space="preserve"> in the next configured occasion.</w:t>
      </w:r>
    </w:p>
    <w:p w14:paraId="58CF8BA9" w14:textId="4327D459" w:rsidR="008B57E2" w:rsidRPr="0090673E" w:rsidRDefault="008B57E2" w:rsidP="008B57E2">
      <w:pPr>
        <w:pStyle w:val="Observation"/>
      </w:pPr>
      <w:bookmarkStart w:id="9" w:name="_Toc525720713"/>
      <w:bookmarkStart w:id="10" w:name="_Toc528958968"/>
      <w:r>
        <w:t>DM-RS of Group</w:t>
      </w:r>
      <w:r w:rsidR="003D0540">
        <w:t>-C</w:t>
      </w:r>
      <w:r>
        <w:t>ommon PDCCH can be used for DL transmission identification by the UE.</w:t>
      </w:r>
      <w:bookmarkEnd w:id="9"/>
      <w:bookmarkEnd w:id="10"/>
    </w:p>
    <w:p w14:paraId="2D2DBDD8" w14:textId="3BA90AAB" w:rsidR="008B57E2" w:rsidRDefault="008B57E2" w:rsidP="008B57E2">
      <w:pPr>
        <w:pStyle w:val="Heading2"/>
      </w:pPr>
      <w:r>
        <w:t>2.2.2</w:t>
      </w:r>
      <w:r w:rsidR="001327D7">
        <w:tab/>
      </w:r>
      <w:r w:rsidRPr="003E1CE7">
        <w:t>PDCCH monitoring:</w:t>
      </w:r>
    </w:p>
    <w:p w14:paraId="4ED8CD14" w14:textId="77777777" w:rsidR="008B57E2" w:rsidRDefault="008B57E2" w:rsidP="008B57E2">
      <w:pPr>
        <w:pStyle w:val="IvDInstructiontext"/>
        <w:jc w:val="both"/>
        <w:rPr>
          <w:rStyle w:val="IvDbodytextChar"/>
          <w:rFonts w:cs="Times New Roman"/>
          <w:i w:val="0"/>
          <w:color w:val="auto"/>
          <w:sz w:val="20"/>
          <w:szCs w:val="20"/>
        </w:rPr>
      </w:pPr>
      <w:r>
        <w:rPr>
          <w:rStyle w:val="IvDbodytextChar"/>
          <w:rFonts w:cs="Times New Roman"/>
          <w:i w:val="0"/>
          <w:color w:val="auto"/>
          <w:sz w:val="20"/>
          <w:szCs w:val="20"/>
        </w:rPr>
        <w:t>In NR, the PDCCH monitoring information per search space is configured via RRC. For each configured search space, the following parameters are included:</w:t>
      </w:r>
    </w:p>
    <w:p w14:paraId="6E404849" w14:textId="77777777" w:rsidR="008B57E2" w:rsidRDefault="008B57E2" w:rsidP="008B57E2">
      <w:pPr>
        <w:pStyle w:val="IvDInstructiontext"/>
        <w:numPr>
          <w:ilvl w:val="0"/>
          <w:numId w:val="31"/>
        </w:numPr>
        <w:jc w:val="both"/>
        <w:rPr>
          <w:rStyle w:val="IvDbodytextChar"/>
          <w:rFonts w:cs="Times New Roman"/>
          <w:i w:val="0"/>
          <w:color w:val="auto"/>
          <w:sz w:val="20"/>
          <w:szCs w:val="20"/>
        </w:rPr>
      </w:pPr>
      <w:proofErr w:type="spellStart"/>
      <w:r>
        <w:rPr>
          <w:rStyle w:val="IvDbodytextChar"/>
          <w:rFonts w:cs="Times New Roman"/>
          <w:i w:val="0"/>
          <w:color w:val="auto"/>
          <w:sz w:val="20"/>
          <w:szCs w:val="20"/>
        </w:rPr>
        <w:t>monitoringSlotPeriodicityAndOffset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Slots for PDCCH Monitoring configured as periodicity and offset</w:t>
      </w:r>
    </w:p>
    <w:p w14:paraId="3322186C" w14:textId="77777777" w:rsidR="008B57E2" w:rsidRDefault="008B57E2" w:rsidP="008B57E2">
      <w:pPr>
        <w:pStyle w:val="IvDInstructiontext"/>
        <w:numPr>
          <w:ilvl w:val="0"/>
          <w:numId w:val="31"/>
        </w:numPr>
        <w:jc w:val="both"/>
        <w:rPr>
          <w:rStyle w:val="IvDbodytextChar"/>
          <w:rFonts w:cs="Times New Roman"/>
          <w:i w:val="0"/>
          <w:color w:val="auto"/>
          <w:sz w:val="20"/>
          <w:szCs w:val="20"/>
        </w:rPr>
      </w:pPr>
      <w:proofErr w:type="spellStart"/>
      <w:r>
        <w:rPr>
          <w:rStyle w:val="IvDbodytextChar"/>
          <w:rFonts w:cs="Times New Roman"/>
          <w:i w:val="0"/>
          <w:color w:val="auto"/>
          <w:sz w:val="20"/>
          <w:szCs w:val="20"/>
        </w:rPr>
        <w:t>monitoringSymbolsWithinSlot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Symbols for PDCCH monitoring in the slots configured for PDCCH monitoring. The field is a bit map of 14 symbols. The most significant (leftmost) bit represents the first OFDM symbol in a slot. The least significant (rightmost) bit represents the last symbol.</w:t>
      </w:r>
    </w:p>
    <w:p w14:paraId="3E0FC379" w14:textId="77777777" w:rsidR="008B57E2" w:rsidRPr="003E1CE7" w:rsidRDefault="008B57E2" w:rsidP="008B57E2"/>
    <w:p w14:paraId="14D5FAAC" w14:textId="14AB63C5" w:rsidR="00D85F8E" w:rsidRPr="00D85F8E" w:rsidRDefault="008B57E2" w:rsidP="00D85F8E">
      <w:pPr>
        <w:pStyle w:val="BodyText"/>
      </w:pPr>
      <w:r>
        <w:t xml:space="preserve">Type B PDSCH mapping (formerly called mini-slots) can be started in any OFDM symbol in a slot and can have length of 2, 4 or 7 OFDM symbols. This will be very helpful for NR unlicensed nodes to get access to the channel. By using Type B PDSCH mapping, NR unlicensed systems will have potentially better performance due to the finer time granularity for data transmissions, especially at higher loads. In order to save PDCCH and DM-RS overhead, </w:t>
      </w:r>
      <w:r w:rsidR="00F4423D">
        <w:t xml:space="preserve">the </w:t>
      </w:r>
      <w:r>
        <w:t xml:space="preserve">gNB may use Type B PDSCH first to </w:t>
      </w:r>
      <w:r w:rsidR="00F4423D">
        <w:t>schedule up to</w:t>
      </w:r>
      <w:r>
        <w:t xml:space="preserve"> </w:t>
      </w:r>
      <w:r w:rsidR="00F4423D">
        <w:t xml:space="preserve">a </w:t>
      </w:r>
      <w:r>
        <w:t>slot boundary and then switch to type A PDSCH transmissions</w:t>
      </w:r>
      <w:r w:rsidR="00F4423D">
        <w:t xml:space="preserve"> for subsequent slots</w:t>
      </w:r>
      <w:r>
        <w:t xml:space="preserve">. </w:t>
      </w:r>
      <w:r w:rsidR="00F4423D">
        <w:t>An</w:t>
      </w:r>
      <w:r>
        <w:t xml:space="preserve"> example is shown in Figure </w:t>
      </w:r>
      <w:r w:rsidR="00A801B1">
        <w:t>3</w:t>
      </w:r>
      <w:r>
        <w:t xml:space="preserve">: </w:t>
      </w:r>
      <w:r w:rsidR="00F4423D">
        <w:t xml:space="preserve">the </w:t>
      </w:r>
      <w:proofErr w:type="spellStart"/>
      <w:r>
        <w:t>gNB</w:t>
      </w:r>
      <w:proofErr w:type="spellEnd"/>
      <w:r>
        <w:t xml:space="preserve"> performs LBT and starts data transmission by using Type B PDSCH mapping in the middle of slot n immediately after LBT succeeds. In succeeding slots (i.e. slot n+1, n+2, n+3) within the TXOP, </w:t>
      </w:r>
      <w:r w:rsidR="00B41B95">
        <w:t xml:space="preserve">the </w:t>
      </w:r>
      <w:r>
        <w:t>gNB switches to Type A PDSCH mapping transmission to save overhead. To match TXOP requirements, the last slot may need to be a partial slot transmission which is already supported by Type A PDSCH mapping in NR Rel-15</w:t>
      </w:r>
      <w:r w:rsidR="00B41B95">
        <w:t xml:space="preserve"> through signalling of start and length indication value (SLIV).</w:t>
      </w:r>
    </w:p>
    <w:p w14:paraId="66B8684A" w14:textId="056BD4F9" w:rsidR="008B57E2" w:rsidRDefault="008B57E2" w:rsidP="008B57E2">
      <w:pPr>
        <w:pStyle w:val="TH"/>
      </w:pPr>
      <w:r w:rsidRPr="000A6ECB">
        <w:rPr>
          <w:noProof/>
        </w:rPr>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4B85DF89" w14:textId="0E1F3464" w:rsidR="008B57E2" w:rsidRDefault="008B57E2" w:rsidP="008B57E2">
      <w:pPr>
        <w:pStyle w:val="TF"/>
      </w:pPr>
      <w:r>
        <w:t xml:space="preserve">Figure </w:t>
      </w:r>
      <w:r w:rsidR="00A801B1">
        <w:rPr>
          <w:lang w:val="en-US"/>
        </w:rPr>
        <w:t>3</w:t>
      </w:r>
      <w:r>
        <w:tab/>
        <w:t xml:space="preserve">Example </w:t>
      </w:r>
      <w:r w:rsidR="002F7C2E">
        <w:rPr>
          <w:lang w:val="en-US"/>
        </w:rPr>
        <w:t>of</w:t>
      </w:r>
      <w:r>
        <w:t xml:space="preserve"> NR-U </w:t>
      </w:r>
      <w:r w:rsidR="002F7C2E">
        <w:rPr>
          <w:lang w:val="en-US"/>
        </w:rPr>
        <w:t>PDSCH and PDCCH</w:t>
      </w:r>
      <w:r>
        <w:t xml:space="preserve"> transmission</w:t>
      </w:r>
      <w:r w:rsidR="002F7C2E">
        <w:rPr>
          <w:lang w:val="en-US"/>
        </w:rPr>
        <w:t>s</w:t>
      </w:r>
      <w:r>
        <w:t xml:space="preserve"> </w:t>
      </w:r>
      <w:r w:rsidR="002F7C2E">
        <w:rPr>
          <w:lang w:val="en-US"/>
        </w:rPr>
        <w:t xml:space="preserve">and UE PDCCH monitoring.  </w:t>
      </w:r>
    </w:p>
    <w:p w14:paraId="69DD5FE3" w14:textId="1A176E00" w:rsidR="008B57E2" w:rsidRDefault="00F4423D" w:rsidP="008B57E2">
      <w:pPr>
        <w:pStyle w:val="Observation"/>
      </w:pPr>
      <w:bookmarkStart w:id="11" w:name="_Toc525720707"/>
      <w:bookmarkStart w:id="12" w:name="_Toc528958969"/>
      <w:r>
        <w:t xml:space="preserve">With NR Rel-15 specifications, </w:t>
      </w:r>
      <w:r w:rsidR="008B57E2">
        <w:t xml:space="preserve">NR-U </w:t>
      </w:r>
      <w:r>
        <w:t xml:space="preserve">already </w:t>
      </w:r>
      <w:r w:rsidR="008B57E2">
        <w:t>support</w:t>
      </w:r>
      <w:r>
        <w:t>s</w:t>
      </w:r>
      <w:r w:rsidR="008B57E2">
        <w:t xml:space="preserve"> </w:t>
      </w:r>
      <w:r w:rsidR="002F7C2E">
        <w:t>flexible</w:t>
      </w:r>
      <w:r w:rsidR="008B57E2">
        <w:t xml:space="preserve"> start and end symbol transmission within </w:t>
      </w:r>
      <w:r>
        <w:t>a</w:t>
      </w:r>
      <w:r w:rsidR="008B57E2">
        <w:t xml:space="preserve"> slot.</w:t>
      </w:r>
      <w:bookmarkEnd w:id="11"/>
      <w:bookmarkEnd w:id="12"/>
    </w:p>
    <w:p w14:paraId="0FB1CE14" w14:textId="77777777" w:rsidR="00F4423D" w:rsidRDefault="008B57E2" w:rsidP="00F4423D">
      <w:pPr>
        <w:pStyle w:val="BodyText"/>
      </w:pPr>
      <w:r>
        <w:t xml:space="preserve">In order to achieve </w:t>
      </w:r>
      <w:r w:rsidR="00B41B95">
        <w:t>such adaptation of the monitoring frequency</w:t>
      </w:r>
      <w:r>
        <w:t xml:space="preserve">, UEs need to monitor the control region for Type B PDSCH mapping more frequently, e.g. every two symbols in Figure 1. However, according to current </w:t>
      </w:r>
      <w:r>
        <w:lastRenderedPageBreak/>
        <w:t>NR Rel-15 specifications, UEs that are not scheduled need to perform the same PDCCH monitoring pattern for Type B mapping even if the gNB transmissions switch to type A, e.g. every 2 symbols in slot n+1, n+2 and etc. This is useful for URLLC traffic in regular NR but for NR-U UEs this is costly and a waste in terms of complexity and power consumption.</w:t>
      </w:r>
    </w:p>
    <w:p w14:paraId="35B9F228" w14:textId="287671F4" w:rsidR="008B57E2" w:rsidRDefault="00F4423D" w:rsidP="00F4423D">
      <w:pPr>
        <w:pStyle w:val="BodyText"/>
        <w:rPr>
          <w:rStyle w:val="IvDbodytextChar"/>
          <w:rFonts w:cs="Times New Roman"/>
          <w:i/>
          <w:sz w:val="20"/>
        </w:rPr>
      </w:pPr>
      <w:r>
        <w:rPr>
          <w:rStyle w:val="IvDbodytextChar"/>
          <w:rFonts w:cs="Times New Roman"/>
          <w:sz w:val="20"/>
        </w:rPr>
        <w:t xml:space="preserve">One possible approach to </w:t>
      </w:r>
      <w:r w:rsidR="00D85F8E">
        <w:rPr>
          <w:rStyle w:val="IvDbodytextChar"/>
          <w:rFonts w:cs="Times New Roman"/>
          <w:sz w:val="20"/>
        </w:rPr>
        <w:t>minimize UE power consumption could be as follows</w:t>
      </w:r>
      <w:r>
        <w:rPr>
          <w:rStyle w:val="IvDbodytextChar"/>
          <w:rFonts w:cs="Times New Roman"/>
          <w:sz w:val="20"/>
        </w:rPr>
        <w:t>: o</w:t>
      </w:r>
      <w:r w:rsidR="008B57E2">
        <w:rPr>
          <w:rStyle w:val="IvDbodytextChar"/>
          <w:rFonts w:cs="Times New Roman"/>
          <w:sz w:val="20"/>
        </w:rPr>
        <w:t xml:space="preserve">nce the gNB initiates the COT, the gNB may indicate additional PDCCH monitoring information to the UEs via dynamic signalling sent in a group common message. This will allow the gNB to </w:t>
      </w:r>
      <w:r>
        <w:rPr>
          <w:rStyle w:val="IvDbodytextChar"/>
          <w:rFonts w:cs="Times New Roman"/>
          <w:sz w:val="20"/>
        </w:rPr>
        <w:t xml:space="preserve">dynamically </w:t>
      </w:r>
      <w:r w:rsidR="008B57E2" w:rsidRPr="005C39F8">
        <w:rPr>
          <w:rStyle w:val="IvDbodytextChar"/>
          <w:rFonts w:cs="Times New Roman"/>
          <w:sz w:val="20"/>
        </w:rPr>
        <w:t xml:space="preserve">exclude some </w:t>
      </w:r>
      <w:r w:rsidR="008B57E2">
        <w:rPr>
          <w:rStyle w:val="IvDbodytextChar"/>
          <w:rFonts w:cs="Times New Roman"/>
          <w:sz w:val="20"/>
        </w:rPr>
        <w:t>RRC</w:t>
      </w:r>
      <w:r w:rsidR="008B57E2" w:rsidRPr="005C39F8">
        <w:rPr>
          <w:rStyle w:val="IvDbodytextChar"/>
          <w:rFonts w:cs="Times New Roman"/>
          <w:sz w:val="20"/>
        </w:rPr>
        <w:t xml:space="preserve"> configured PDCCH occasion</w:t>
      </w:r>
      <w:r w:rsidR="008B57E2">
        <w:rPr>
          <w:rStyle w:val="IvDbodytextChar"/>
          <w:rFonts w:cs="Times New Roman"/>
          <w:sz w:val="20"/>
        </w:rPr>
        <w:t>s in a flexible manner depending on the length of the transmission burst</w:t>
      </w:r>
      <w:r>
        <w:rPr>
          <w:rStyle w:val="IvDbodytextChar"/>
          <w:rFonts w:cs="Times New Roman"/>
          <w:sz w:val="20"/>
        </w:rPr>
        <w:t>.</w:t>
      </w:r>
    </w:p>
    <w:p w14:paraId="41114F2B" w14:textId="51A0AFA1" w:rsidR="008B57E2" w:rsidRDefault="008B57E2" w:rsidP="008B57E2">
      <w:pPr>
        <w:pStyle w:val="Proposal"/>
      </w:pPr>
      <w:bookmarkStart w:id="13" w:name="_Toc525720714"/>
      <w:bookmarkStart w:id="14" w:name="_Toc528958962"/>
      <w:r>
        <w:t>Support dynamic indication of PDCCH monitoring information to the UE in addition to the existing RRC configuration</w:t>
      </w:r>
      <w:r w:rsidR="00A801B1">
        <w:t xml:space="preserve">, e.g., through group common </w:t>
      </w:r>
      <w:proofErr w:type="spellStart"/>
      <w:r w:rsidR="00A801B1">
        <w:t>signaling</w:t>
      </w:r>
      <w:proofErr w:type="spellEnd"/>
      <w:r>
        <w:t>.</w:t>
      </w:r>
      <w:bookmarkEnd w:id="13"/>
      <w:bookmarkEnd w:id="14"/>
    </w:p>
    <w:p w14:paraId="1BF65482" w14:textId="2F20A9F6" w:rsidR="008B57E2" w:rsidRDefault="008B57E2" w:rsidP="008B57E2">
      <w:pPr>
        <w:spacing w:after="120"/>
        <w:jc w:val="both"/>
        <w:rPr>
          <w:rFonts w:ascii="Arial" w:hAnsi="Arial" w:cs="Arial"/>
          <w:lang w:eastAsia="zh-CN"/>
        </w:rPr>
      </w:pPr>
      <w:bookmarkStart w:id="15" w:name="_Toc521503146"/>
      <w:bookmarkStart w:id="16" w:name="_Toc521660569"/>
      <w:bookmarkStart w:id="17" w:name="_Toc521660635"/>
      <w:bookmarkStart w:id="18" w:name="_Toc521660672"/>
      <w:bookmarkStart w:id="19" w:name="_Toc521660731"/>
      <w:bookmarkStart w:id="20" w:name="_Toc521660777"/>
      <w:bookmarkStart w:id="21" w:name="_Toc521660889"/>
      <w:bookmarkStart w:id="22" w:name="_Toc521660943"/>
      <w:bookmarkStart w:id="23" w:name="_Toc521660964"/>
      <w:bookmarkStart w:id="24" w:name="_Toc521503028"/>
      <w:bookmarkStart w:id="25" w:name="_Toc521503147"/>
      <w:bookmarkStart w:id="26" w:name="_Toc521660570"/>
      <w:bookmarkStart w:id="27" w:name="_Toc521660636"/>
      <w:bookmarkStart w:id="28" w:name="_Toc521660673"/>
      <w:bookmarkStart w:id="29" w:name="_Toc521660732"/>
      <w:bookmarkStart w:id="30" w:name="_Toc521660778"/>
      <w:bookmarkStart w:id="31" w:name="_Toc521660890"/>
      <w:bookmarkStart w:id="32" w:name="_Toc521660944"/>
      <w:bookmarkStart w:id="33" w:name="_Toc5216609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ascii="Arial" w:hAnsi="Arial" w:cs="Arial"/>
          <w:lang w:eastAsia="zh-CN"/>
        </w:rPr>
        <w:t>Other approaches for power saving while performing PDCCH monitoring have been discussed in NR in general. For Rel-16, there is a new SI [5] to consider mechanisms such as wake-up signals to enable the UE to be in DRX for a greater portion of time when in CONNECTED mode. To ensure quality of service, a UE in DRX can be quickly pulled back into active time with the use of such a wake-up signal. Such a mechanism will also benefit NR operations in unlicensed spectrum. An NR-U system can incorporate such mechanisms when they are standardized. Since this Rel-16 work is in parallel to the NR-U SI, such designs targeting UEs in DRX need not be further discussed in the NR-U SI to avoid duplicated work in 3GPP.</w:t>
      </w:r>
    </w:p>
    <w:p w14:paraId="5414C954" w14:textId="0095B6EA" w:rsidR="008B57E2" w:rsidRPr="00E921FD" w:rsidRDefault="008B57E2" w:rsidP="008B57E2">
      <w:pPr>
        <w:pStyle w:val="Proposal"/>
        <w:tabs>
          <w:tab w:val="clear" w:pos="1304"/>
        </w:tabs>
        <w:ind w:left="1701" w:hanging="1701"/>
      </w:pPr>
      <w:bookmarkStart w:id="34" w:name="_Toc521718657"/>
      <w:bookmarkStart w:id="35" w:name="_Hlk525843827"/>
      <w:bookmarkStart w:id="36" w:name="_Toc528958963"/>
      <w:r>
        <w:t xml:space="preserve">UE power saving solutions </w:t>
      </w:r>
      <w:r w:rsidR="002F7C2E">
        <w:t xml:space="preserve">such </w:t>
      </w:r>
      <w:r>
        <w:t xml:space="preserve">as wake-up signals are </w:t>
      </w:r>
      <w:r w:rsidR="00F532A1">
        <w:t xml:space="preserve">being studied in another study item and  need not be </w:t>
      </w:r>
      <w:r w:rsidR="002F7C2E">
        <w:t>studied in</w:t>
      </w:r>
      <w:r w:rsidR="00F532A1">
        <w:t xml:space="preserve"> </w:t>
      </w:r>
      <w:r>
        <w:t>NR-U</w:t>
      </w:r>
      <w:r w:rsidR="002F7C2E">
        <w:t xml:space="preserve"> to avoid duplicate work in 3GPP</w:t>
      </w:r>
      <w:r>
        <w:t>.</w:t>
      </w:r>
      <w:bookmarkEnd w:id="34"/>
      <w:bookmarkEnd w:id="36"/>
      <w:r>
        <w:t xml:space="preserve"> </w:t>
      </w:r>
      <w:bookmarkEnd w:id="35"/>
    </w:p>
    <w:p w14:paraId="1160AB2F" w14:textId="276599B9" w:rsidR="008B57E2" w:rsidRDefault="008B57E2" w:rsidP="008B57E2">
      <w:pPr>
        <w:pStyle w:val="BodyText"/>
      </w:pPr>
      <w:r>
        <w:t>Signals that are not compliant with the NR frame structure or with its numerologies, sample rates etc. (e.g., signals from other technologies) have also been discussed to save power consumed by PDCCH monitoring. It should be noted that the use of such signals can also lead to a power increase due to the need for constant monitoring and can reduce the reliability of PDSCH reception by adding another signal that must be received successfully before reception of data. Hence, any UE power saving solutions should concentrate on signals that are based on core NR technology.</w:t>
      </w:r>
      <w:r w:rsidR="00624DC9">
        <w:t xml:space="preserve"> </w:t>
      </w:r>
      <w:r w:rsidR="00E37368">
        <w:t xml:space="preserve">We elaborate on this more in </w:t>
      </w:r>
      <w:r w:rsidR="00E37368">
        <w:fldChar w:fldCharType="begin"/>
      </w:r>
      <w:r w:rsidR="00E37368">
        <w:instrText xml:space="preserve"> REF _Ref525911839 \r \h </w:instrText>
      </w:r>
      <w:r w:rsidR="00E37368">
        <w:fldChar w:fldCharType="separate"/>
      </w:r>
      <w:r w:rsidR="00B9379E">
        <w:t>[4]</w:t>
      </w:r>
      <w:r w:rsidR="00E37368">
        <w:fldChar w:fldCharType="end"/>
      </w:r>
      <w:r w:rsidR="00E37368">
        <w:t>.</w:t>
      </w:r>
    </w:p>
    <w:p w14:paraId="4493F65A" w14:textId="77777777" w:rsidR="008B57E2" w:rsidRDefault="008B57E2" w:rsidP="008B57E2">
      <w:pPr>
        <w:pStyle w:val="Proposal"/>
      </w:pPr>
      <w:bookmarkStart w:id="37" w:name="_Toc528958964"/>
      <w:r>
        <w:t>Any UE power saving solution should rely only on NR-based signaling</w:t>
      </w:r>
      <w:bookmarkEnd w:id="37"/>
    </w:p>
    <w:p w14:paraId="1C5C8100" w14:textId="6A39672C" w:rsidR="00D020C5" w:rsidRDefault="00D020C5" w:rsidP="007D7E5B">
      <w:pPr>
        <w:pStyle w:val="BodyText"/>
      </w:pPr>
    </w:p>
    <w:p w14:paraId="5300F849" w14:textId="14EDF058" w:rsidR="00C01F33" w:rsidRPr="00CE0424" w:rsidRDefault="00C01F33" w:rsidP="00A5623E">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38" w:name="_GoBack"/>
    <w:bookmarkEnd w:id="38"/>
    <w:p w14:paraId="57FDB416" w14:textId="36DF20ED" w:rsidR="00A70D1C"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58965" w:history="1">
        <w:r w:rsidR="00A70D1C" w:rsidRPr="00B14FD6">
          <w:rPr>
            <w:rStyle w:val="Hyperlink"/>
            <w:noProof/>
          </w:rPr>
          <w:t>Observation 1</w:t>
        </w:r>
        <w:r w:rsidR="00A70D1C">
          <w:rPr>
            <w:rFonts w:asciiTheme="minorHAnsi" w:eastAsiaTheme="minorEastAsia" w:hAnsiTheme="minorHAnsi" w:cstheme="minorBidi"/>
            <w:b w:val="0"/>
            <w:noProof/>
            <w:sz w:val="22"/>
            <w:szCs w:val="22"/>
            <w:lang w:val="en-US" w:eastAsia="en-US"/>
          </w:rPr>
          <w:tab/>
        </w:r>
        <w:r w:rsidR="00A70D1C" w:rsidRPr="00B14FD6">
          <w:rPr>
            <w:rStyle w:val="Hyperlink"/>
            <w:noProof/>
          </w:rPr>
          <w:t>For efficient operation in unlicensed spectrum, always-on-transmissions should be kept at a minimum and be concentrated in time as much as possible.</w:t>
        </w:r>
      </w:hyperlink>
    </w:p>
    <w:p w14:paraId="3AF28C74" w14:textId="5675537C"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6" w:history="1">
        <w:r w:rsidRPr="00B14FD6">
          <w:rPr>
            <w:rStyle w:val="Hyperlink"/>
            <w:noProof/>
          </w:rPr>
          <w:t>Observation 2</w:t>
        </w:r>
        <w:r>
          <w:rPr>
            <w:rFonts w:asciiTheme="minorHAnsi" w:eastAsiaTheme="minorEastAsia" w:hAnsiTheme="minorHAnsi" w:cstheme="minorBidi"/>
            <w:b w:val="0"/>
            <w:noProof/>
            <w:sz w:val="22"/>
            <w:szCs w:val="22"/>
            <w:lang w:val="en-US" w:eastAsia="en-US"/>
          </w:rPr>
          <w:tab/>
        </w:r>
        <w:r w:rsidRPr="00B14FD6">
          <w:rPr>
            <w:rStyle w:val="Hyperlink"/>
            <w:noProof/>
          </w:rPr>
          <w:t>NR supports beamformed SS/PBCH block transmissions and thus we see no reason to restrict this for NR-U.</w:t>
        </w:r>
      </w:hyperlink>
    </w:p>
    <w:p w14:paraId="06031D87" w14:textId="0CDA3C92"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7" w:history="1">
        <w:r w:rsidRPr="00B14FD6">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B14FD6">
          <w:rPr>
            <w:rStyle w:val="Hyperlink"/>
            <w:noProof/>
            <w:lang w:val="en-US"/>
          </w:rPr>
          <w:t>Using Rel-15 NR mechanisms, the UE can soft combine different SIB1 redundancy versions in the DRS.</w:t>
        </w:r>
      </w:hyperlink>
    </w:p>
    <w:p w14:paraId="40908049" w14:textId="152D5885"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8" w:history="1">
        <w:r w:rsidRPr="00B14FD6">
          <w:rPr>
            <w:rStyle w:val="Hyperlink"/>
            <w:noProof/>
          </w:rPr>
          <w:t>Observation 4</w:t>
        </w:r>
        <w:r>
          <w:rPr>
            <w:rFonts w:asciiTheme="minorHAnsi" w:eastAsiaTheme="minorEastAsia" w:hAnsiTheme="minorHAnsi" w:cstheme="minorBidi"/>
            <w:b w:val="0"/>
            <w:noProof/>
            <w:sz w:val="22"/>
            <w:szCs w:val="22"/>
            <w:lang w:val="en-US" w:eastAsia="en-US"/>
          </w:rPr>
          <w:tab/>
        </w:r>
        <w:r w:rsidRPr="00B14FD6">
          <w:rPr>
            <w:rStyle w:val="Hyperlink"/>
            <w:noProof/>
          </w:rPr>
          <w:t>DM-RS of Group-Common PDCCH can be used for DL transmission identification by the UE.</w:t>
        </w:r>
      </w:hyperlink>
    </w:p>
    <w:p w14:paraId="02964BDC" w14:textId="134C7217"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9" w:history="1">
        <w:r w:rsidRPr="00B14FD6">
          <w:rPr>
            <w:rStyle w:val="Hyperlink"/>
            <w:noProof/>
          </w:rPr>
          <w:t>Observation 5</w:t>
        </w:r>
        <w:r>
          <w:rPr>
            <w:rFonts w:asciiTheme="minorHAnsi" w:eastAsiaTheme="minorEastAsia" w:hAnsiTheme="minorHAnsi" w:cstheme="minorBidi"/>
            <w:b w:val="0"/>
            <w:noProof/>
            <w:sz w:val="22"/>
            <w:szCs w:val="22"/>
            <w:lang w:val="en-US" w:eastAsia="en-US"/>
          </w:rPr>
          <w:tab/>
        </w:r>
        <w:r w:rsidRPr="00B14FD6">
          <w:rPr>
            <w:rStyle w:val="Hyperlink"/>
            <w:noProof/>
          </w:rPr>
          <w:t>With NR Rel-15 specifications, NR-U already supports flexible start and end symbol transmission within a slot.</w:t>
        </w:r>
      </w:hyperlink>
    </w:p>
    <w:p w14:paraId="62D061AB" w14:textId="44DFC7B8"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E8E9EB" w14:textId="60F816A0" w:rsidR="00A70D1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58958" w:history="1">
        <w:r w:rsidR="00A70D1C" w:rsidRPr="00A5755A">
          <w:rPr>
            <w:rStyle w:val="Hyperlink"/>
            <w:noProof/>
          </w:rPr>
          <w:t>Proposal 1</w:t>
        </w:r>
        <w:r w:rsidR="00A70D1C">
          <w:rPr>
            <w:rFonts w:asciiTheme="minorHAnsi" w:eastAsiaTheme="minorEastAsia" w:hAnsiTheme="minorHAnsi" w:cstheme="minorBidi"/>
            <w:b w:val="0"/>
            <w:noProof/>
            <w:sz w:val="22"/>
            <w:szCs w:val="22"/>
            <w:lang w:val="en-US" w:eastAsia="en-US"/>
          </w:rPr>
          <w:tab/>
        </w:r>
        <w:r w:rsidR="00A70D1C" w:rsidRPr="00A5755A">
          <w:rPr>
            <w:rStyle w:val="Hyperlink"/>
            <w:noProof/>
          </w:rPr>
          <w:t>Support NR-U DRS periodicities of [40 ms, 80 ms and 160 ms].</w:t>
        </w:r>
      </w:hyperlink>
    </w:p>
    <w:p w14:paraId="4F62AE7E" w14:textId="26306848"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59" w:history="1">
        <w:r w:rsidRPr="00A5755A">
          <w:rPr>
            <w:rStyle w:val="Hyperlink"/>
            <w:noProof/>
          </w:rPr>
          <w:t>Proposal 2</w:t>
        </w:r>
        <w:r>
          <w:rPr>
            <w:rFonts w:asciiTheme="minorHAnsi" w:eastAsiaTheme="minorEastAsia" w:hAnsiTheme="minorHAnsi" w:cstheme="minorBidi"/>
            <w:b w:val="0"/>
            <w:noProof/>
            <w:sz w:val="22"/>
            <w:szCs w:val="22"/>
            <w:lang w:val="en-US" w:eastAsia="en-US"/>
          </w:rPr>
          <w:tab/>
        </w:r>
        <w:r w:rsidRPr="00A5755A">
          <w:rPr>
            <w:rStyle w:val="Hyperlink"/>
            <w:noProof/>
          </w:rPr>
          <w:t>For NR-U, the SS/PBCH - CORESET multiplexing Pattern 1 is feasible for designing a compact DRS pattern in time in which RMSI CORESET, PDSCH carrying RMSI, and an SS/PBCH block burst set are multiplexed by means of a combination of FDM and TDM.</w:t>
        </w:r>
      </w:hyperlink>
    </w:p>
    <w:p w14:paraId="17CCF49D" w14:textId="41AE9662"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0" w:history="1">
        <w:r w:rsidRPr="00A5755A">
          <w:rPr>
            <w:rStyle w:val="Hyperlink"/>
            <w:noProof/>
          </w:rPr>
          <w:t>Proposal 3</w:t>
        </w:r>
        <w:r>
          <w:rPr>
            <w:rFonts w:asciiTheme="minorHAnsi" w:eastAsiaTheme="minorEastAsia" w:hAnsiTheme="minorHAnsi" w:cstheme="minorBidi"/>
            <w:b w:val="0"/>
            <w:noProof/>
            <w:sz w:val="22"/>
            <w:szCs w:val="22"/>
            <w:lang w:val="en-US" w:eastAsia="en-US"/>
          </w:rPr>
          <w:tab/>
        </w:r>
        <w:r w:rsidRPr="00A5755A">
          <w:rPr>
            <w:rStyle w:val="Hyperlink"/>
            <w:noProof/>
          </w:rPr>
          <w:t>Introduce at least one additional configuration for NR-U with the second PDCCH monitoring occasion in the Type0-PDCCH common search space placed at the 8</w:t>
        </w:r>
        <w:r w:rsidRPr="00A5755A">
          <w:rPr>
            <w:rStyle w:val="Hyperlink"/>
            <w:noProof/>
            <w:vertAlign w:val="superscript"/>
          </w:rPr>
          <w:t>th</w:t>
        </w:r>
        <w:r w:rsidRPr="00A5755A">
          <w:rPr>
            <w:rStyle w:val="Hyperlink"/>
            <w:noProof/>
          </w:rPr>
          <w:t xml:space="preserve"> symbol in a slot, rather than the 2</w:t>
        </w:r>
        <w:r w:rsidRPr="00A5755A">
          <w:rPr>
            <w:rStyle w:val="Hyperlink"/>
            <w:noProof/>
            <w:vertAlign w:val="superscript"/>
          </w:rPr>
          <w:t>nd</w:t>
        </w:r>
        <w:r w:rsidRPr="00A5755A">
          <w:rPr>
            <w:rStyle w:val="Hyperlink"/>
            <w:noProof/>
          </w:rPr>
          <w:t>/3</w:t>
        </w:r>
        <w:r w:rsidRPr="00A5755A">
          <w:rPr>
            <w:rStyle w:val="Hyperlink"/>
            <w:noProof/>
            <w:vertAlign w:val="superscript"/>
          </w:rPr>
          <w:t>rd</w:t>
        </w:r>
        <w:r w:rsidRPr="00A5755A">
          <w:rPr>
            <w:rStyle w:val="Hyperlink"/>
            <w:noProof/>
          </w:rPr>
          <w:t xml:space="preserve"> symbol.</w:t>
        </w:r>
      </w:hyperlink>
    </w:p>
    <w:p w14:paraId="2CD0E089" w14:textId="6BCA85C5"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1" w:history="1">
        <w:r w:rsidRPr="00A5755A">
          <w:rPr>
            <w:rStyle w:val="Hyperlink"/>
            <w:noProof/>
          </w:rPr>
          <w:t>Proposal 4</w:t>
        </w:r>
        <w:r>
          <w:rPr>
            <w:rFonts w:asciiTheme="minorHAnsi" w:eastAsiaTheme="minorEastAsia" w:hAnsiTheme="minorHAnsi" w:cstheme="minorBidi"/>
            <w:b w:val="0"/>
            <w:noProof/>
            <w:sz w:val="22"/>
            <w:szCs w:val="22"/>
            <w:lang w:val="en-US" w:eastAsia="en-US"/>
          </w:rPr>
          <w:tab/>
        </w:r>
        <w:r w:rsidRPr="00A5755A">
          <w:rPr>
            <w:rStyle w:val="Hyperlink"/>
            <w:noProof/>
          </w:rPr>
          <w:t>To allow a combination of FDM and TDM multiplexing of SS/PBCH block and PDSCH carrying RMSI, revisit the assumption that no SS/PBCH block is transmitted in REs used by the UE for a reception of the PDSCH scheduled by SI-RNTI</w:t>
        </w:r>
      </w:hyperlink>
    </w:p>
    <w:p w14:paraId="6442B5C5" w14:textId="2AD31236"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2" w:history="1">
        <w:r w:rsidRPr="00A5755A">
          <w:rPr>
            <w:rStyle w:val="Hyperlink"/>
            <w:noProof/>
          </w:rPr>
          <w:t>Proposal 5</w:t>
        </w:r>
        <w:r>
          <w:rPr>
            <w:rFonts w:asciiTheme="minorHAnsi" w:eastAsiaTheme="minorEastAsia" w:hAnsiTheme="minorHAnsi" w:cstheme="minorBidi"/>
            <w:b w:val="0"/>
            <w:noProof/>
            <w:sz w:val="22"/>
            <w:szCs w:val="22"/>
            <w:lang w:val="en-US" w:eastAsia="en-US"/>
          </w:rPr>
          <w:tab/>
        </w:r>
        <w:r w:rsidRPr="00A5755A">
          <w:rPr>
            <w:rStyle w:val="Hyperlink"/>
            <w:noProof/>
          </w:rPr>
          <w:t>Support dynamic indication of PDCCH monitoring information to the UE in addition to the existing RRC configuration, e.g., through group common signaling.</w:t>
        </w:r>
      </w:hyperlink>
    </w:p>
    <w:p w14:paraId="6E4423C6" w14:textId="6D2A4434"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3" w:history="1">
        <w:r w:rsidRPr="00A5755A">
          <w:rPr>
            <w:rStyle w:val="Hyperlink"/>
            <w:noProof/>
          </w:rPr>
          <w:t>Proposal 6</w:t>
        </w:r>
        <w:r>
          <w:rPr>
            <w:rFonts w:asciiTheme="minorHAnsi" w:eastAsiaTheme="minorEastAsia" w:hAnsiTheme="minorHAnsi" w:cstheme="minorBidi"/>
            <w:b w:val="0"/>
            <w:noProof/>
            <w:sz w:val="22"/>
            <w:szCs w:val="22"/>
            <w:lang w:val="en-US" w:eastAsia="en-US"/>
          </w:rPr>
          <w:tab/>
        </w:r>
        <w:r w:rsidRPr="00A5755A">
          <w:rPr>
            <w:rStyle w:val="Hyperlink"/>
            <w:noProof/>
          </w:rPr>
          <w:t>UE power saving solutions such as wake-up signals are being studied in another study item and  need not be studied in NR-U to avoid duplicate work in 3GPP.</w:t>
        </w:r>
      </w:hyperlink>
    </w:p>
    <w:p w14:paraId="471D61A2" w14:textId="2AED7274" w:rsidR="00A70D1C" w:rsidRDefault="00A70D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964" w:history="1">
        <w:r w:rsidRPr="00A5755A">
          <w:rPr>
            <w:rStyle w:val="Hyperlink"/>
            <w:noProof/>
          </w:rPr>
          <w:t>Proposal 7</w:t>
        </w:r>
        <w:r>
          <w:rPr>
            <w:rFonts w:asciiTheme="minorHAnsi" w:eastAsiaTheme="minorEastAsia" w:hAnsiTheme="minorHAnsi" w:cstheme="minorBidi"/>
            <w:b w:val="0"/>
            <w:noProof/>
            <w:sz w:val="22"/>
            <w:szCs w:val="22"/>
            <w:lang w:val="en-US" w:eastAsia="en-US"/>
          </w:rPr>
          <w:tab/>
        </w:r>
        <w:r w:rsidRPr="00A5755A">
          <w:rPr>
            <w:rStyle w:val="Hyperlink"/>
            <w:noProof/>
          </w:rPr>
          <w:t>Any UE power saving solution should rely only on NR-based signaling</w:t>
        </w:r>
      </w:hyperlink>
    </w:p>
    <w:p w14:paraId="5A1EB9E8" w14:textId="4B0C4CBE"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9" w:name="_In-sequence_SDU_delivery"/>
      <w:bookmarkEnd w:id="39"/>
      <w:r w:rsidRPr="00CE0424">
        <w:t>References</w:t>
      </w:r>
    </w:p>
    <w:p w14:paraId="331E4BB1" w14:textId="77777777" w:rsidR="008714E1" w:rsidRDefault="006A18DF" w:rsidP="001B126E">
      <w:pPr>
        <w:pStyle w:val="Reference"/>
      </w:pPr>
      <w:bookmarkStart w:id="40" w:name="_Ref488061725"/>
      <w:bookmarkStart w:id="41" w:name="_Ref521659446"/>
      <w:bookmarkStart w:id="42" w:name="_Ref479756368"/>
      <w:bookmarkStart w:id="43" w:name="_Ref481486326"/>
      <w:bookmarkStart w:id="44" w:name="_Ref174151459"/>
      <w:bookmarkStart w:id="45" w:name="_Ref189809556"/>
      <w:r>
        <w:t>Chairman’s Notes, RAN1 WG #9</w:t>
      </w:r>
      <w:bookmarkEnd w:id="40"/>
      <w:r>
        <w:t>3, Busan, Korea</w:t>
      </w:r>
      <w:bookmarkEnd w:id="41"/>
    </w:p>
    <w:p w14:paraId="4B908133" w14:textId="1BDEF42C" w:rsidR="001B126E" w:rsidRPr="00686B0B" w:rsidRDefault="008714E1" w:rsidP="001B126E">
      <w:pPr>
        <w:pStyle w:val="Reference"/>
        <w:rPr>
          <w:szCs w:val="22"/>
          <w:lang w:eastAsia="ja-JP"/>
        </w:rPr>
      </w:pPr>
      <w:bookmarkStart w:id="46" w:name="_Ref525632605"/>
      <w:r>
        <w:t>Chairman’s Notes, RAN1 WG #94, Gothenburg, Sweden</w:t>
      </w:r>
      <w:bookmarkEnd w:id="42"/>
      <w:bookmarkEnd w:id="43"/>
      <w:bookmarkEnd w:id="46"/>
    </w:p>
    <w:p w14:paraId="01B95680" w14:textId="6D0C1D42" w:rsidR="001B126E" w:rsidRDefault="00D84288" w:rsidP="00D84288">
      <w:pPr>
        <w:pStyle w:val="Reference"/>
      </w:pPr>
      <w:bookmarkStart w:id="47" w:name="_Ref513550460"/>
      <w:bookmarkStart w:id="48" w:name="_Ref521494943"/>
      <w:r w:rsidRPr="00D84288">
        <w:rPr>
          <w:szCs w:val="22"/>
          <w:lang w:eastAsia="ja-JP"/>
        </w:rPr>
        <w:t>R1-1813459</w:t>
      </w:r>
      <w:r w:rsidR="001B126E" w:rsidRPr="00187357">
        <w:t>, “</w:t>
      </w:r>
      <w:r w:rsidR="001B126E" w:rsidRPr="00686B0B">
        <w:t>On initial access, RRM, mobility and RLM</w:t>
      </w:r>
      <w:r w:rsidR="001B126E">
        <w:t>”, Ericsson, RAN1#</w:t>
      </w:r>
      <w:bookmarkEnd w:id="47"/>
      <w:bookmarkEnd w:id="48"/>
      <w:r w:rsidR="00B61FB9">
        <w:t>95</w:t>
      </w:r>
    </w:p>
    <w:p w14:paraId="4B81F074" w14:textId="0AC693DC" w:rsidR="00F532A1" w:rsidRPr="00E13C0A" w:rsidRDefault="00D84288" w:rsidP="00D84288">
      <w:pPr>
        <w:pStyle w:val="Reference"/>
      </w:pPr>
      <w:bookmarkStart w:id="49" w:name="_Ref525911839"/>
      <w:r w:rsidRPr="00D84288">
        <w:t>R1-1813462</w:t>
      </w:r>
      <w:r w:rsidR="00F532A1">
        <w:t>, “On the use of a preamble for NR-U”, Ericsson, RAN1#</w:t>
      </w:r>
      <w:bookmarkEnd w:id="49"/>
      <w:r w:rsidR="00B61FB9">
        <w:t>95</w:t>
      </w:r>
    </w:p>
    <w:bookmarkEnd w:id="44"/>
    <w:bookmarkEnd w:id="45"/>
    <w:p w14:paraId="0034D3CC"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BCB5" w14:textId="77777777" w:rsidR="00A17BFC" w:rsidRDefault="00A17BFC">
      <w:r>
        <w:separator/>
      </w:r>
    </w:p>
  </w:endnote>
  <w:endnote w:type="continuationSeparator" w:id="0">
    <w:p w14:paraId="79BD5A1C" w14:textId="77777777" w:rsidR="00A17BFC" w:rsidRDefault="00A1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Sylfae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12D91" w14:textId="77777777" w:rsidR="00A17BFC" w:rsidRDefault="00A17BFC">
      <w:r>
        <w:separator/>
      </w:r>
    </w:p>
  </w:footnote>
  <w:footnote w:type="continuationSeparator" w:id="0">
    <w:p w14:paraId="60B5089C" w14:textId="77777777" w:rsidR="00A17BFC" w:rsidRDefault="00A17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44F5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C4D2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F3172"/>
    <w:multiLevelType w:val="hybridMultilevel"/>
    <w:tmpl w:val="5ED2324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30743"/>
    <w:multiLevelType w:val="multilevel"/>
    <w:tmpl w:val="958E0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5ED5885"/>
    <w:multiLevelType w:val="hybridMultilevel"/>
    <w:tmpl w:val="E392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7577D"/>
    <w:multiLevelType w:val="multilevel"/>
    <w:tmpl w:val="55BE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950100"/>
    <w:multiLevelType w:val="multilevel"/>
    <w:tmpl w:val="14B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091A96"/>
    <w:multiLevelType w:val="hybridMultilevel"/>
    <w:tmpl w:val="20E69914"/>
    <w:lvl w:ilvl="0" w:tplc="BBCAB974">
      <w:start w:val="1"/>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7C68BB"/>
    <w:multiLevelType w:val="multilevel"/>
    <w:tmpl w:val="13309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6585BDC"/>
    <w:multiLevelType w:val="hybridMultilevel"/>
    <w:tmpl w:val="907A033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79717B"/>
    <w:multiLevelType w:val="hybridMultilevel"/>
    <w:tmpl w:val="66E6F9D6"/>
    <w:lvl w:ilvl="0" w:tplc="630C4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D6930"/>
    <w:multiLevelType w:val="multilevel"/>
    <w:tmpl w:val="311E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25"/>
  </w:num>
  <w:num w:numId="3">
    <w:abstractNumId w:val="17"/>
  </w:num>
  <w:num w:numId="4">
    <w:abstractNumId w:val="18"/>
  </w:num>
  <w:num w:numId="5">
    <w:abstractNumId w:val="13"/>
  </w:num>
  <w:num w:numId="6">
    <w:abstractNumId w:val="23"/>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8"/>
  </w:num>
  <w:num w:numId="18">
    <w:abstractNumId w:val="10"/>
  </w:num>
  <w:num w:numId="19">
    <w:abstractNumId w:val="4"/>
  </w:num>
  <w:num w:numId="20">
    <w:abstractNumId w:val="32"/>
  </w:num>
  <w:num w:numId="21">
    <w:abstractNumId w:val="16"/>
  </w:num>
  <w:num w:numId="22">
    <w:abstractNumId w:val="30"/>
  </w:num>
  <w:num w:numId="23">
    <w:abstractNumId w:val="9"/>
  </w:num>
  <w:num w:numId="24">
    <w:abstractNumId w:val="33"/>
  </w:num>
  <w:num w:numId="25">
    <w:abstractNumId w:val="11"/>
  </w:num>
  <w:num w:numId="26">
    <w:abstractNumId w:val="6"/>
  </w:num>
  <w:num w:numId="27">
    <w:abstractNumId w:val="36"/>
  </w:num>
  <w:num w:numId="28">
    <w:abstractNumId w:val="37"/>
  </w:num>
  <w:num w:numId="29">
    <w:abstractNumId w:val="19"/>
  </w:num>
  <w:num w:numId="30">
    <w:abstractNumId w:val="17"/>
  </w:num>
  <w:num w:numId="31">
    <w:abstractNumId w:val="15"/>
  </w:num>
  <w:num w:numId="32">
    <w:abstractNumId w:val="31"/>
  </w:num>
  <w:num w:numId="33">
    <w:abstractNumId w:val="17"/>
  </w:num>
  <w:num w:numId="34">
    <w:abstractNumId w:val="35"/>
  </w:num>
  <w:num w:numId="35">
    <w:abstractNumId w:val="19"/>
  </w:num>
  <w:num w:numId="36">
    <w:abstractNumId w:val="22"/>
  </w:num>
  <w:num w:numId="37">
    <w:abstractNumId w:val="5"/>
  </w:num>
  <w:num w:numId="38">
    <w:abstractNumId w:val="34"/>
  </w:num>
  <w:num w:numId="39">
    <w:abstractNumId w:val="7"/>
  </w:num>
  <w:num w:numId="40">
    <w:abstractNumId w:val="20"/>
  </w:num>
  <w:num w:numId="4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52A07"/>
    <w:rsid w:val="000534E3"/>
    <w:rsid w:val="000534EE"/>
    <w:rsid w:val="0005606A"/>
    <w:rsid w:val="00057117"/>
    <w:rsid w:val="000616E7"/>
    <w:rsid w:val="0006487E"/>
    <w:rsid w:val="00065E1A"/>
    <w:rsid w:val="0007518B"/>
    <w:rsid w:val="0007693E"/>
    <w:rsid w:val="00077E5F"/>
    <w:rsid w:val="0008036A"/>
    <w:rsid w:val="00081AE6"/>
    <w:rsid w:val="00081BCD"/>
    <w:rsid w:val="000855EB"/>
    <w:rsid w:val="00085B52"/>
    <w:rsid w:val="000866F2"/>
    <w:rsid w:val="0009009F"/>
    <w:rsid w:val="00091557"/>
    <w:rsid w:val="000924C1"/>
    <w:rsid w:val="000924F0"/>
    <w:rsid w:val="00093474"/>
    <w:rsid w:val="0009510F"/>
    <w:rsid w:val="000972E1"/>
    <w:rsid w:val="000A1B7B"/>
    <w:rsid w:val="000A56F2"/>
    <w:rsid w:val="000A6ECB"/>
    <w:rsid w:val="000B2719"/>
    <w:rsid w:val="000B3A8F"/>
    <w:rsid w:val="000B4AB9"/>
    <w:rsid w:val="000B58C3"/>
    <w:rsid w:val="000B61E9"/>
    <w:rsid w:val="000C165A"/>
    <w:rsid w:val="000C2E19"/>
    <w:rsid w:val="000C65A3"/>
    <w:rsid w:val="000D0D07"/>
    <w:rsid w:val="000D4797"/>
    <w:rsid w:val="000E0527"/>
    <w:rsid w:val="000E1E92"/>
    <w:rsid w:val="000E5A29"/>
    <w:rsid w:val="000F06D6"/>
    <w:rsid w:val="000F0EB1"/>
    <w:rsid w:val="000F1106"/>
    <w:rsid w:val="000F3BE9"/>
    <w:rsid w:val="000F3F6C"/>
    <w:rsid w:val="000F5327"/>
    <w:rsid w:val="000F6DF3"/>
    <w:rsid w:val="001005FF"/>
    <w:rsid w:val="001062FB"/>
    <w:rsid w:val="001063E6"/>
    <w:rsid w:val="00110211"/>
    <w:rsid w:val="00113CF4"/>
    <w:rsid w:val="001153EA"/>
    <w:rsid w:val="00115643"/>
    <w:rsid w:val="00116765"/>
    <w:rsid w:val="00120E65"/>
    <w:rsid w:val="001219F5"/>
    <w:rsid w:val="00121A20"/>
    <w:rsid w:val="0012377F"/>
    <w:rsid w:val="00124314"/>
    <w:rsid w:val="00126B4A"/>
    <w:rsid w:val="001327D7"/>
    <w:rsid w:val="00132FD0"/>
    <w:rsid w:val="001333A8"/>
    <w:rsid w:val="001344C0"/>
    <w:rsid w:val="001346FA"/>
    <w:rsid w:val="00135252"/>
    <w:rsid w:val="00137AB5"/>
    <w:rsid w:val="00137F0B"/>
    <w:rsid w:val="00147603"/>
    <w:rsid w:val="00151E23"/>
    <w:rsid w:val="001526E0"/>
    <w:rsid w:val="001551B5"/>
    <w:rsid w:val="0015772D"/>
    <w:rsid w:val="001652E4"/>
    <w:rsid w:val="001659C1"/>
    <w:rsid w:val="00166620"/>
    <w:rsid w:val="001714B7"/>
    <w:rsid w:val="0017260F"/>
    <w:rsid w:val="00173A8E"/>
    <w:rsid w:val="0017502C"/>
    <w:rsid w:val="0018143F"/>
    <w:rsid w:val="00181FF8"/>
    <w:rsid w:val="00182504"/>
    <w:rsid w:val="00187357"/>
    <w:rsid w:val="00190AC1"/>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58E2"/>
    <w:rsid w:val="001E7AED"/>
    <w:rsid w:val="001F3916"/>
    <w:rsid w:val="001F54C5"/>
    <w:rsid w:val="001F662C"/>
    <w:rsid w:val="001F7074"/>
    <w:rsid w:val="00200490"/>
    <w:rsid w:val="00201F3A"/>
    <w:rsid w:val="00203293"/>
    <w:rsid w:val="00203F96"/>
    <w:rsid w:val="002069B2"/>
    <w:rsid w:val="00207FA3"/>
    <w:rsid w:val="002131C5"/>
    <w:rsid w:val="00214DA8"/>
    <w:rsid w:val="00215423"/>
    <w:rsid w:val="002158FA"/>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B24D6"/>
    <w:rsid w:val="002C3A90"/>
    <w:rsid w:val="002C41E6"/>
    <w:rsid w:val="002C6F96"/>
    <w:rsid w:val="002D071A"/>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7BA1"/>
    <w:rsid w:val="00311702"/>
    <w:rsid w:val="00311E82"/>
    <w:rsid w:val="003131A5"/>
    <w:rsid w:val="00313FD6"/>
    <w:rsid w:val="003143BD"/>
    <w:rsid w:val="00315363"/>
    <w:rsid w:val="003203ED"/>
    <w:rsid w:val="0032205A"/>
    <w:rsid w:val="00322C9F"/>
    <w:rsid w:val="00324D23"/>
    <w:rsid w:val="00331751"/>
    <w:rsid w:val="00334579"/>
    <w:rsid w:val="00335858"/>
    <w:rsid w:val="00336BDA"/>
    <w:rsid w:val="00341B12"/>
    <w:rsid w:val="00342BD7"/>
    <w:rsid w:val="00346DB5"/>
    <w:rsid w:val="003477B1"/>
    <w:rsid w:val="00354B73"/>
    <w:rsid w:val="00357380"/>
    <w:rsid w:val="003602D9"/>
    <w:rsid w:val="003604CE"/>
    <w:rsid w:val="00367BD6"/>
    <w:rsid w:val="00370196"/>
    <w:rsid w:val="00370E47"/>
    <w:rsid w:val="0037395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C45"/>
    <w:rsid w:val="003D566A"/>
    <w:rsid w:val="003D5B1F"/>
    <w:rsid w:val="003D6CE8"/>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83266"/>
    <w:rsid w:val="00492BC5"/>
    <w:rsid w:val="004964F1"/>
    <w:rsid w:val="00497506"/>
    <w:rsid w:val="004A16BC"/>
    <w:rsid w:val="004A2B94"/>
    <w:rsid w:val="004B5755"/>
    <w:rsid w:val="004B6F6A"/>
    <w:rsid w:val="004B7C0C"/>
    <w:rsid w:val="004C3763"/>
    <w:rsid w:val="004C3898"/>
    <w:rsid w:val="004D36B1"/>
    <w:rsid w:val="004D7513"/>
    <w:rsid w:val="004D7EBD"/>
    <w:rsid w:val="004E2680"/>
    <w:rsid w:val="004E28F9"/>
    <w:rsid w:val="004E462E"/>
    <w:rsid w:val="004E56DC"/>
    <w:rsid w:val="004E76F4"/>
    <w:rsid w:val="004F0B4E"/>
    <w:rsid w:val="004F0B6C"/>
    <w:rsid w:val="004F2078"/>
    <w:rsid w:val="004F4DA3"/>
    <w:rsid w:val="00500DB0"/>
    <w:rsid w:val="00506557"/>
    <w:rsid w:val="0050677A"/>
    <w:rsid w:val="005108D8"/>
    <w:rsid w:val="005116F9"/>
    <w:rsid w:val="005153A7"/>
    <w:rsid w:val="005219CF"/>
    <w:rsid w:val="0052547E"/>
    <w:rsid w:val="00526622"/>
    <w:rsid w:val="00534B59"/>
    <w:rsid w:val="00536759"/>
    <w:rsid w:val="00537C62"/>
    <w:rsid w:val="00546970"/>
    <w:rsid w:val="00554E19"/>
    <w:rsid w:val="0056121F"/>
    <w:rsid w:val="00561A5B"/>
    <w:rsid w:val="00572505"/>
    <w:rsid w:val="00582809"/>
    <w:rsid w:val="0058798C"/>
    <w:rsid w:val="005900FA"/>
    <w:rsid w:val="005935A4"/>
    <w:rsid w:val="005948C2"/>
    <w:rsid w:val="00595DCA"/>
    <w:rsid w:val="0059694B"/>
    <w:rsid w:val="0059779B"/>
    <w:rsid w:val="005A209A"/>
    <w:rsid w:val="005A662D"/>
    <w:rsid w:val="005A67D0"/>
    <w:rsid w:val="005B1409"/>
    <w:rsid w:val="005B35D7"/>
    <w:rsid w:val="005B392A"/>
    <w:rsid w:val="005B3AA3"/>
    <w:rsid w:val="005B6F83"/>
    <w:rsid w:val="005C39F8"/>
    <w:rsid w:val="005C74FB"/>
    <w:rsid w:val="005D1602"/>
    <w:rsid w:val="005E385F"/>
    <w:rsid w:val="005E5B81"/>
    <w:rsid w:val="005F2CB1"/>
    <w:rsid w:val="005F3025"/>
    <w:rsid w:val="005F618C"/>
    <w:rsid w:val="005F70BD"/>
    <w:rsid w:val="0060283C"/>
    <w:rsid w:val="00604F14"/>
    <w:rsid w:val="00611B83"/>
    <w:rsid w:val="00613257"/>
    <w:rsid w:val="00617376"/>
    <w:rsid w:val="00620A71"/>
    <w:rsid w:val="00620D80"/>
    <w:rsid w:val="00622D1C"/>
    <w:rsid w:val="006234A6"/>
    <w:rsid w:val="00624DC9"/>
    <w:rsid w:val="00630001"/>
    <w:rsid w:val="006311B3"/>
    <w:rsid w:val="0063284C"/>
    <w:rsid w:val="00632E30"/>
    <w:rsid w:val="00636398"/>
    <w:rsid w:val="006368D3"/>
    <w:rsid w:val="006377EC"/>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346E"/>
    <w:rsid w:val="00704EDB"/>
    <w:rsid w:val="00706101"/>
    <w:rsid w:val="00707072"/>
    <w:rsid w:val="00707D61"/>
    <w:rsid w:val="00712287"/>
    <w:rsid w:val="00712772"/>
    <w:rsid w:val="007133CF"/>
    <w:rsid w:val="007148D3"/>
    <w:rsid w:val="00715B9A"/>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517"/>
    <w:rsid w:val="007571E1"/>
    <w:rsid w:val="007604B2"/>
    <w:rsid w:val="00765281"/>
    <w:rsid w:val="00766BAD"/>
    <w:rsid w:val="007729A2"/>
    <w:rsid w:val="007755F2"/>
    <w:rsid w:val="00776971"/>
    <w:rsid w:val="00780A80"/>
    <w:rsid w:val="0078177E"/>
    <w:rsid w:val="0078304C"/>
    <w:rsid w:val="00783673"/>
    <w:rsid w:val="00785490"/>
    <w:rsid w:val="0079121A"/>
    <w:rsid w:val="007925EA"/>
    <w:rsid w:val="00793CD8"/>
    <w:rsid w:val="007957B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505B"/>
    <w:rsid w:val="007E6BDB"/>
    <w:rsid w:val="007E7091"/>
    <w:rsid w:val="007F44ED"/>
    <w:rsid w:val="00803FAE"/>
    <w:rsid w:val="0080605F"/>
    <w:rsid w:val="00807081"/>
    <w:rsid w:val="00807786"/>
    <w:rsid w:val="00811FCB"/>
    <w:rsid w:val="008158D6"/>
    <w:rsid w:val="00817196"/>
    <w:rsid w:val="008235DB"/>
    <w:rsid w:val="00824AB4"/>
    <w:rsid w:val="00825C42"/>
    <w:rsid w:val="00825D25"/>
    <w:rsid w:val="00826B2F"/>
    <w:rsid w:val="00827D6F"/>
    <w:rsid w:val="00835F53"/>
    <w:rsid w:val="008375E9"/>
    <w:rsid w:val="008376AC"/>
    <w:rsid w:val="00843099"/>
    <w:rsid w:val="008444E8"/>
    <w:rsid w:val="00844E80"/>
    <w:rsid w:val="00846FE7"/>
    <w:rsid w:val="008503C8"/>
    <w:rsid w:val="00856911"/>
    <w:rsid w:val="00861276"/>
    <w:rsid w:val="008677FD"/>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A21FF"/>
    <w:rsid w:val="008A2CE2"/>
    <w:rsid w:val="008A30AC"/>
    <w:rsid w:val="008A44B8"/>
    <w:rsid w:val="008A51A8"/>
    <w:rsid w:val="008A54C7"/>
    <w:rsid w:val="008A77D8"/>
    <w:rsid w:val="008B0483"/>
    <w:rsid w:val="008B120C"/>
    <w:rsid w:val="008B51A0"/>
    <w:rsid w:val="008B57E2"/>
    <w:rsid w:val="008B592A"/>
    <w:rsid w:val="008B7B5C"/>
    <w:rsid w:val="008C0C99"/>
    <w:rsid w:val="008C2017"/>
    <w:rsid w:val="008C4786"/>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F1C4E"/>
    <w:rsid w:val="008F1EAB"/>
    <w:rsid w:val="008F33DC"/>
    <w:rsid w:val="008F477F"/>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56C1"/>
    <w:rsid w:val="009368F3"/>
    <w:rsid w:val="009406F5"/>
    <w:rsid w:val="00941636"/>
    <w:rsid w:val="00943742"/>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603D"/>
    <w:rsid w:val="00976949"/>
    <w:rsid w:val="00980477"/>
    <w:rsid w:val="00985253"/>
    <w:rsid w:val="009853B3"/>
    <w:rsid w:val="00990630"/>
    <w:rsid w:val="00991761"/>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3E54"/>
    <w:rsid w:val="00A16EAD"/>
    <w:rsid w:val="00A17BFC"/>
    <w:rsid w:val="00A17F63"/>
    <w:rsid w:val="00A2193B"/>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48AB"/>
    <w:rsid w:val="00A5623E"/>
    <w:rsid w:val="00A61499"/>
    <w:rsid w:val="00A62578"/>
    <w:rsid w:val="00A62A77"/>
    <w:rsid w:val="00A63483"/>
    <w:rsid w:val="00A657D7"/>
    <w:rsid w:val="00A660AC"/>
    <w:rsid w:val="00A67E6C"/>
    <w:rsid w:val="00A70D1C"/>
    <w:rsid w:val="00A71B99"/>
    <w:rsid w:val="00A739D0"/>
    <w:rsid w:val="00A761D4"/>
    <w:rsid w:val="00A77EC4"/>
    <w:rsid w:val="00A801B1"/>
    <w:rsid w:val="00A92879"/>
    <w:rsid w:val="00A9442A"/>
    <w:rsid w:val="00A97D71"/>
    <w:rsid w:val="00AA016F"/>
    <w:rsid w:val="00AA1ED6"/>
    <w:rsid w:val="00AA4389"/>
    <w:rsid w:val="00AA5109"/>
    <w:rsid w:val="00AA51D6"/>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E22A5"/>
    <w:rsid w:val="00AE27AC"/>
    <w:rsid w:val="00AE40E0"/>
    <w:rsid w:val="00AE4DBA"/>
    <w:rsid w:val="00AE4F07"/>
    <w:rsid w:val="00AF1C5D"/>
    <w:rsid w:val="00AF42D7"/>
    <w:rsid w:val="00B006FE"/>
    <w:rsid w:val="00B007CB"/>
    <w:rsid w:val="00B02AA9"/>
    <w:rsid w:val="00B02FA3"/>
    <w:rsid w:val="00B05084"/>
    <w:rsid w:val="00B10A86"/>
    <w:rsid w:val="00B11E61"/>
    <w:rsid w:val="00B157F9"/>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61FB9"/>
    <w:rsid w:val="00B664C7"/>
    <w:rsid w:val="00B739F6"/>
    <w:rsid w:val="00B81A6C"/>
    <w:rsid w:val="00B85DE5"/>
    <w:rsid w:val="00B90F73"/>
    <w:rsid w:val="00B9379E"/>
    <w:rsid w:val="00B93B59"/>
    <w:rsid w:val="00B9406A"/>
    <w:rsid w:val="00B94F79"/>
    <w:rsid w:val="00BA2280"/>
    <w:rsid w:val="00BA2A08"/>
    <w:rsid w:val="00BA56D2"/>
    <w:rsid w:val="00BA76E0"/>
    <w:rsid w:val="00BB2A25"/>
    <w:rsid w:val="00BB51E9"/>
    <w:rsid w:val="00BB6EBB"/>
    <w:rsid w:val="00BC0FDC"/>
    <w:rsid w:val="00BC3053"/>
    <w:rsid w:val="00BC4D2E"/>
    <w:rsid w:val="00BD25A7"/>
    <w:rsid w:val="00BD48AC"/>
    <w:rsid w:val="00BD5F1A"/>
    <w:rsid w:val="00BD6F6C"/>
    <w:rsid w:val="00BE1234"/>
    <w:rsid w:val="00BE21AE"/>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61B"/>
    <w:rsid w:val="00C279B5"/>
    <w:rsid w:val="00C27C45"/>
    <w:rsid w:val="00C3438E"/>
    <w:rsid w:val="00C3719D"/>
    <w:rsid w:val="00C37CB2"/>
    <w:rsid w:val="00C44CEB"/>
    <w:rsid w:val="00C473A5"/>
    <w:rsid w:val="00C54995"/>
    <w:rsid w:val="00C54D41"/>
    <w:rsid w:val="00C60783"/>
    <w:rsid w:val="00C64672"/>
    <w:rsid w:val="00C70697"/>
    <w:rsid w:val="00C70B13"/>
    <w:rsid w:val="00C71F9C"/>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7B45"/>
    <w:rsid w:val="00CD1188"/>
    <w:rsid w:val="00CD2ED1"/>
    <w:rsid w:val="00CD337B"/>
    <w:rsid w:val="00CD5413"/>
    <w:rsid w:val="00CD6B2A"/>
    <w:rsid w:val="00CD792B"/>
    <w:rsid w:val="00CE0424"/>
    <w:rsid w:val="00CE0BF7"/>
    <w:rsid w:val="00CE2E5D"/>
    <w:rsid w:val="00CE7561"/>
    <w:rsid w:val="00CF1354"/>
    <w:rsid w:val="00CF3B1F"/>
    <w:rsid w:val="00CF3BF6"/>
    <w:rsid w:val="00CF625B"/>
    <w:rsid w:val="00CF687E"/>
    <w:rsid w:val="00D020C5"/>
    <w:rsid w:val="00D0349B"/>
    <w:rsid w:val="00D10249"/>
    <w:rsid w:val="00D115C3"/>
    <w:rsid w:val="00D11897"/>
    <w:rsid w:val="00D13135"/>
    <w:rsid w:val="00D13E4E"/>
    <w:rsid w:val="00D239A7"/>
    <w:rsid w:val="00D23F47"/>
    <w:rsid w:val="00D36E71"/>
    <w:rsid w:val="00D37D87"/>
    <w:rsid w:val="00D4072C"/>
    <w:rsid w:val="00D40B33"/>
    <w:rsid w:val="00D40F2E"/>
    <w:rsid w:val="00D41133"/>
    <w:rsid w:val="00D4318F"/>
    <w:rsid w:val="00D438BF"/>
    <w:rsid w:val="00D440F8"/>
    <w:rsid w:val="00D453DF"/>
    <w:rsid w:val="00D546FF"/>
    <w:rsid w:val="00D54F1F"/>
    <w:rsid w:val="00D55AD5"/>
    <w:rsid w:val="00D576CA"/>
    <w:rsid w:val="00D61AF5"/>
    <w:rsid w:val="00D625E8"/>
    <w:rsid w:val="00D652B5"/>
    <w:rsid w:val="00D66155"/>
    <w:rsid w:val="00D708B0"/>
    <w:rsid w:val="00D77B1D"/>
    <w:rsid w:val="00D8021F"/>
    <w:rsid w:val="00D80383"/>
    <w:rsid w:val="00D823C6"/>
    <w:rsid w:val="00D8327F"/>
    <w:rsid w:val="00D84288"/>
    <w:rsid w:val="00D85F8E"/>
    <w:rsid w:val="00D86CA3"/>
    <w:rsid w:val="00D871CE"/>
    <w:rsid w:val="00D915C1"/>
    <w:rsid w:val="00D9196D"/>
    <w:rsid w:val="00D92982"/>
    <w:rsid w:val="00D93A77"/>
    <w:rsid w:val="00DA305E"/>
    <w:rsid w:val="00DA34D5"/>
    <w:rsid w:val="00DA5417"/>
    <w:rsid w:val="00DA56E8"/>
    <w:rsid w:val="00DB0A9F"/>
    <w:rsid w:val="00DB377D"/>
    <w:rsid w:val="00DB743C"/>
    <w:rsid w:val="00DC2D36"/>
    <w:rsid w:val="00DC53EF"/>
    <w:rsid w:val="00DC6A50"/>
    <w:rsid w:val="00DD2FDA"/>
    <w:rsid w:val="00DE5608"/>
    <w:rsid w:val="00DE58D0"/>
    <w:rsid w:val="00DE654F"/>
    <w:rsid w:val="00DF037B"/>
    <w:rsid w:val="00DF08CF"/>
    <w:rsid w:val="00DF0B6E"/>
    <w:rsid w:val="00DF0FAA"/>
    <w:rsid w:val="00DF12C1"/>
    <w:rsid w:val="00DF15E0"/>
    <w:rsid w:val="00DF1EDB"/>
    <w:rsid w:val="00DF37A0"/>
    <w:rsid w:val="00E110E7"/>
    <w:rsid w:val="00E11B20"/>
    <w:rsid w:val="00E17FA2"/>
    <w:rsid w:val="00E22330"/>
    <w:rsid w:val="00E30B5A"/>
    <w:rsid w:val="00E3123D"/>
    <w:rsid w:val="00E31461"/>
    <w:rsid w:val="00E31D43"/>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7C51"/>
    <w:rsid w:val="00E72EFC"/>
    <w:rsid w:val="00E758EC"/>
    <w:rsid w:val="00E8234C"/>
    <w:rsid w:val="00E82F51"/>
    <w:rsid w:val="00E83AA9"/>
    <w:rsid w:val="00E83E44"/>
    <w:rsid w:val="00E85928"/>
    <w:rsid w:val="00E87822"/>
    <w:rsid w:val="00E90395"/>
    <w:rsid w:val="00E90E49"/>
    <w:rsid w:val="00E917F9"/>
    <w:rsid w:val="00E9291C"/>
    <w:rsid w:val="00E93FFE"/>
    <w:rsid w:val="00E94F8A"/>
    <w:rsid w:val="00E9645E"/>
    <w:rsid w:val="00EA7A41"/>
    <w:rsid w:val="00EB077B"/>
    <w:rsid w:val="00EB4EA2"/>
    <w:rsid w:val="00EC24D5"/>
    <w:rsid w:val="00EC27C6"/>
    <w:rsid w:val="00EC4207"/>
    <w:rsid w:val="00EC5653"/>
    <w:rsid w:val="00EC71CE"/>
    <w:rsid w:val="00ED1006"/>
    <w:rsid w:val="00ED4F36"/>
    <w:rsid w:val="00EF18FE"/>
    <w:rsid w:val="00EF524D"/>
    <w:rsid w:val="00EF5787"/>
    <w:rsid w:val="00EF60D0"/>
    <w:rsid w:val="00F01EEA"/>
    <w:rsid w:val="00F0528D"/>
    <w:rsid w:val="00F06C67"/>
    <w:rsid w:val="00F06DFD"/>
    <w:rsid w:val="00F071D1"/>
    <w:rsid w:val="00F07533"/>
    <w:rsid w:val="00F10629"/>
    <w:rsid w:val="00F15FA5"/>
    <w:rsid w:val="00F209B7"/>
    <w:rsid w:val="00F2176D"/>
    <w:rsid w:val="00F2203B"/>
    <w:rsid w:val="00F23666"/>
    <w:rsid w:val="00F2376F"/>
    <w:rsid w:val="00F243D8"/>
    <w:rsid w:val="00F30828"/>
    <w:rsid w:val="00F313D6"/>
    <w:rsid w:val="00F31AFC"/>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7B"/>
    <w:rsid w:val="00FE7336"/>
    <w:rsid w:val="00FE787C"/>
    <w:rsid w:val="00FE7FD8"/>
    <w:rsid w:val="00FF0D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5NUHHDQN7SK2-1476151046-33359</_dlc_DocId>
    <_dlc_DocIdUrl xmlns="f166a696-7b5b-4ccd-9f0c-ffde0cceec81">
      <Url>https://ericsson.sharepoint.com/sites/star/_layouts/15/DocIdRedir.aspx?ID=5NUHHDQN7SK2-1476151046-33359</Url>
      <Description>5NUHHDQN7SK2-1476151046-33359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2.xml><?xml version="1.0" encoding="utf-8"?>
<ds:datastoreItem xmlns:ds="http://schemas.openxmlformats.org/officeDocument/2006/customXml" ds:itemID="{A65C95EB-A061-437D-A48B-70A4C787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5.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6.xml><?xml version="1.0" encoding="utf-8"?>
<ds:datastoreItem xmlns:ds="http://schemas.openxmlformats.org/officeDocument/2006/customXml" ds:itemID="{9B4735F6-3D86-4DCA-839C-AB7E7277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288</TotalTime>
  <Pages>6</Pages>
  <Words>2703</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Stephen Grant</cp:lastModifiedBy>
  <cp:revision>21</cp:revision>
  <cp:lastPrinted>2008-01-31T07:09:00Z</cp:lastPrinted>
  <dcterms:created xsi:type="dcterms:W3CDTF">2018-09-28T14:07:00Z</dcterms:created>
  <dcterms:modified xsi:type="dcterms:W3CDTF">2018-11-03T04:54:00Z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05d724d8-8560-48df-8043-edc656b3d0a5</vt:lpwstr>
  </property>
  <property fmtid="{D5CDD505-2E9C-101B-9397-08002B2CF9AE}" pid="5" name="TaxKeyword">
    <vt:lpwstr/>
  </property>
</Properties>
</file>